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4" w:type="pct"/>
        <w:tblLayout w:type="fixed"/>
        <w:tblCellMar>
          <w:left w:w="70" w:type="dxa"/>
          <w:right w:w="70" w:type="dxa"/>
        </w:tblCellMar>
        <w:tblLook w:val="04A0" w:firstRow="1" w:lastRow="0" w:firstColumn="1" w:lastColumn="0" w:noHBand="0" w:noVBand="1"/>
      </w:tblPr>
      <w:tblGrid>
        <w:gridCol w:w="2552"/>
        <w:gridCol w:w="401"/>
        <w:gridCol w:w="1763"/>
        <w:gridCol w:w="2604"/>
        <w:gridCol w:w="307"/>
        <w:gridCol w:w="2154"/>
      </w:tblGrid>
      <w:tr w:rsidR="00F93D13" w:rsidRPr="00B50AD7" w14:paraId="13F7146A" w14:textId="77777777" w:rsidTr="00CE7BF5">
        <w:trPr>
          <w:trHeight w:val="1611"/>
        </w:trPr>
        <w:tc>
          <w:tcPr>
            <w:tcW w:w="5000" w:type="pct"/>
            <w:gridSpan w:val="6"/>
            <w:tcBorders>
              <w:top w:val="nil"/>
              <w:left w:val="nil"/>
            </w:tcBorders>
            <w:shd w:val="clear" w:color="auto" w:fill="234E79"/>
            <w:vAlign w:val="center"/>
            <w:hideMark/>
          </w:tcPr>
          <w:p w14:paraId="1A1B0833" w14:textId="77777777" w:rsidR="00F93D13" w:rsidRDefault="00F93D13"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7B1C1935" w14:textId="77777777" w:rsidR="004469D0" w:rsidRDefault="00F93D13" w:rsidP="004469D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DI FORNITURE E SERVIZI MEDIANTE PROCEDURA NEGOZIATA SOPRA SOGLIA </w:t>
            </w:r>
          </w:p>
          <w:p w14:paraId="66CCA80E" w14:textId="39065910" w:rsidR="00F93D13" w:rsidRPr="00B50AD7" w:rsidRDefault="004469D0" w:rsidP="004469D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art. 76 </w:t>
            </w:r>
            <w:r w:rsidRPr="00B104A8">
              <w:rPr>
                <w:rFonts w:ascii="Garamond" w:eastAsia="Times New Roman" w:hAnsi="Garamond" w:cstheme="minorHAnsi"/>
                <w:b/>
                <w:bCs/>
                <w:color w:val="FFFFFF"/>
                <w:lang w:eastAsia="it-IT"/>
              </w:rPr>
              <w:t xml:space="preserve">del D. </w:t>
            </w:r>
            <w:r>
              <w:rPr>
                <w:rFonts w:ascii="Garamond" w:eastAsia="Times New Roman" w:hAnsi="Garamond" w:cstheme="minorHAnsi"/>
                <w:b/>
                <w:bCs/>
                <w:color w:val="FFFFFF"/>
                <w:lang w:eastAsia="it-IT"/>
              </w:rPr>
              <w:t>L</w:t>
            </w:r>
            <w:r w:rsidRPr="00B104A8">
              <w:rPr>
                <w:rFonts w:ascii="Garamond" w:eastAsia="Times New Roman" w:hAnsi="Garamond" w:cstheme="minorHAnsi"/>
                <w:b/>
                <w:bCs/>
                <w:color w:val="FFFFFF"/>
                <w:lang w:eastAsia="it-IT"/>
              </w:rPr>
              <w:t xml:space="preserve">gs. n. </w:t>
            </w:r>
            <w:r>
              <w:rPr>
                <w:rFonts w:ascii="Garamond" w:eastAsia="Times New Roman" w:hAnsi="Garamond" w:cstheme="minorHAnsi"/>
                <w:b/>
                <w:bCs/>
                <w:color w:val="FFFFFF"/>
                <w:lang w:eastAsia="it-IT"/>
              </w:rPr>
              <w:t>36</w:t>
            </w:r>
            <w:r w:rsidRPr="00B104A8">
              <w:rPr>
                <w:rFonts w:ascii="Garamond" w:eastAsia="Times New Roman" w:hAnsi="Garamond" w:cstheme="minorHAnsi"/>
                <w:b/>
                <w:bCs/>
                <w:color w:val="FFFFFF"/>
                <w:lang w:eastAsia="it-IT"/>
              </w:rPr>
              <w:t>/20</w:t>
            </w:r>
            <w:r>
              <w:rPr>
                <w:rFonts w:ascii="Garamond" w:eastAsia="Times New Roman" w:hAnsi="Garamond" w:cstheme="minorHAnsi"/>
                <w:b/>
                <w:bCs/>
                <w:color w:val="FFFFFF"/>
                <w:lang w:eastAsia="it-IT"/>
              </w:rPr>
              <w:t>23</w:t>
            </w:r>
            <w:r w:rsidRPr="00B104A8">
              <w:rPr>
                <w:rFonts w:ascii="Garamond" w:eastAsia="Times New Roman" w:hAnsi="Garamond" w:cstheme="minorHAnsi"/>
                <w:b/>
                <w:bCs/>
                <w:color w:val="FFFFFF"/>
                <w:lang w:eastAsia="it-IT"/>
              </w:rPr>
              <w:t xml:space="preserve"> e </w:t>
            </w:r>
            <w:proofErr w:type="spellStart"/>
            <w:r w:rsidRPr="00B104A8">
              <w:rPr>
                <w:rFonts w:ascii="Garamond" w:eastAsia="Times New Roman" w:hAnsi="Garamond" w:cstheme="minorHAnsi"/>
                <w:b/>
                <w:bCs/>
                <w:color w:val="FFFFFF"/>
                <w:lang w:eastAsia="it-IT"/>
              </w:rPr>
              <w:t>s.m.i.</w:t>
            </w:r>
            <w:proofErr w:type="spellEnd"/>
          </w:p>
        </w:tc>
      </w:tr>
      <w:tr w:rsidR="00F93D13" w:rsidRPr="00B50AD7" w14:paraId="1F6E95EE" w14:textId="77777777" w:rsidTr="00CE7BF5">
        <w:trPr>
          <w:trHeight w:val="273"/>
        </w:trPr>
        <w:tc>
          <w:tcPr>
            <w:tcW w:w="1510" w:type="pct"/>
            <w:gridSpan w:val="2"/>
            <w:tcBorders>
              <w:top w:val="nil"/>
              <w:left w:val="nil"/>
              <w:bottom w:val="nil"/>
              <w:right w:val="nil"/>
            </w:tcBorders>
            <w:shd w:val="clear" w:color="000000" w:fill="FFFFFF"/>
            <w:noWrap/>
            <w:vAlign w:val="bottom"/>
            <w:hideMark/>
          </w:tcPr>
          <w:p w14:paraId="4721A057" w14:textId="77777777" w:rsidR="00F93D13" w:rsidRPr="00B50AD7" w:rsidRDefault="00F93D13"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1" w:type="pct"/>
            <w:tcBorders>
              <w:top w:val="nil"/>
              <w:left w:val="nil"/>
              <w:bottom w:val="nil"/>
              <w:right w:val="nil"/>
            </w:tcBorders>
            <w:shd w:val="clear" w:color="000000" w:fill="FFFFFF"/>
            <w:noWrap/>
            <w:vAlign w:val="bottom"/>
            <w:hideMark/>
          </w:tcPr>
          <w:p w14:paraId="70111487" w14:textId="77777777" w:rsidR="00F93D13" w:rsidRPr="00B50AD7" w:rsidRDefault="00F93D13"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31" w:type="pct"/>
            <w:tcBorders>
              <w:top w:val="nil"/>
              <w:left w:val="nil"/>
              <w:bottom w:val="nil"/>
              <w:right w:val="nil"/>
            </w:tcBorders>
            <w:shd w:val="clear" w:color="000000" w:fill="FFFFFF"/>
            <w:noWrap/>
            <w:vAlign w:val="bottom"/>
            <w:hideMark/>
          </w:tcPr>
          <w:p w14:paraId="5A4D6099" w14:textId="77777777" w:rsidR="00F93D13" w:rsidRPr="00B50AD7" w:rsidRDefault="00F93D13"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7" w:type="pct"/>
            <w:tcBorders>
              <w:top w:val="nil"/>
              <w:left w:val="nil"/>
              <w:bottom w:val="nil"/>
              <w:right w:val="nil"/>
            </w:tcBorders>
            <w:shd w:val="clear" w:color="000000" w:fill="FFFFFF"/>
            <w:noWrap/>
            <w:vAlign w:val="bottom"/>
            <w:hideMark/>
          </w:tcPr>
          <w:p w14:paraId="657FBA9A" w14:textId="77777777" w:rsidR="00F93D13" w:rsidRPr="00B50AD7" w:rsidRDefault="00F93D13"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01" w:type="pct"/>
            <w:tcBorders>
              <w:top w:val="nil"/>
              <w:left w:val="nil"/>
              <w:bottom w:val="nil"/>
              <w:right w:val="nil"/>
            </w:tcBorders>
            <w:shd w:val="clear" w:color="000000" w:fill="FFFFFF"/>
            <w:noWrap/>
            <w:vAlign w:val="bottom"/>
            <w:hideMark/>
          </w:tcPr>
          <w:p w14:paraId="70268ACC" w14:textId="77777777" w:rsidR="00F93D13" w:rsidRPr="00B50AD7" w:rsidRDefault="00F93D13"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93D13" w:rsidRPr="00B50AD7" w14:paraId="32B99285" w14:textId="77777777" w:rsidTr="00CE7BF5">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auto" w:fill="234E79"/>
            <w:vAlign w:val="center"/>
            <w:hideMark/>
          </w:tcPr>
          <w:p w14:paraId="2A6100F3" w14:textId="45F817BB" w:rsidR="00F93D13" w:rsidRPr="00B50AD7" w:rsidRDefault="008E308B"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w:t>
            </w:r>
            <w:r>
              <w:rPr>
                <w:rFonts w:ascii="Garamond" w:eastAsia="Times New Roman" w:hAnsi="Garamond" w:cstheme="minorHAnsi"/>
                <w:b/>
                <w:bCs/>
                <w:color w:val="FFFFFF"/>
                <w:lang w:eastAsia="it-IT"/>
              </w:rPr>
              <w:t xml:space="preserve"> titolare del progetto</w:t>
            </w:r>
          </w:p>
        </w:tc>
      </w:tr>
      <w:tr w:rsidR="00F93D13" w:rsidRPr="00B50AD7" w14:paraId="28707E67" w14:textId="77777777" w:rsidTr="00B23038">
        <w:trPr>
          <w:trHeight w:val="526"/>
        </w:trPr>
        <w:tc>
          <w:tcPr>
            <w:tcW w:w="1305" w:type="pct"/>
            <w:tcBorders>
              <w:top w:val="single" w:sz="4" w:space="0" w:color="auto"/>
              <w:left w:val="single" w:sz="4" w:space="0" w:color="auto"/>
              <w:bottom w:val="single" w:sz="4" w:space="0" w:color="auto"/>
              <w:right w:val="single" w:sz="2" w:space="0" w:color="auto"/>
            </w:tcBorders>
            <w:shd w:val="clear" w:color="auto" w:fill="234E79"/>
            <w:vAlign w:val="center"/>
            <w:hideMark/>
          </w:tcPr>
          <w:p w14:paraId="1603BBE3" w14:textId="77777777" w:rsidR="00F93D13" w:rsidRPr="00B50AD7" w:rsidRDefault="00F93D13"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4781C1FD" w:rsidR="00F93D13" w:rsidRPr="00B50AD7" w:rsidRDefault="00F93D13" w:rsidP="00177AE1">
            <w:pPr>
              <w:spacing w:after="0" w:line="240" w:lineRule="auto"/>
              <w:rPr>
                <w:rFonts w:ascii="Garamond" w:eastAsia="Times New Roman" w:hAnsi="Garamond" w:cstheme="minorHAnsi"/>
                <w:lang w:eastAsia="it-IT"/>
              </w:rPr>
            </w:pPr>
          </w:p>
        </w:tc>
      </w:tr>
      <w:tr w:rsidR="00F93D13" w:rsidRPr="00B50AD7" w14:paraId="1BDC1786" w14:textId="77777777" w:rsidTr="00B23038">
        <w:trPr>
          <w:trHeight w:val="526"/>
        </w:trPr>
        <w:tc>
          <w:tcPr>
            <w:tcW w:w="1305" w:type="pct"/>
            <w:tcBorders>
              <w:top w:val="single" w:sz="4" w:space="0" w:color="auto"/>
              <w:left w:val="single" w:sz="4" w:space="0" w:color="auto"/>
              <w:bottom w:val="single" w:sz="4" w:space="0" w:color="auto"/>
              <w:right w:val="single" w:sz="2" w:space="0" w:color="auto"/>
            </w:tcBorders>
            <w:shd w:val="clear" w:color="auto" w:fill="234E79"/>
            <w:vAlign w:val="center"/>
          </w:tcPr>
          <w:p w14:paraId="760DAE56" w14:textId="77777777" w:rsidR="00F93D13" w:rsidRPr="00B50AD7" w:rsidRDefault="00F93D13"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57FBD3C9" w:rsidR="00F93D13" w:rsidRPr="00B50AD7" w:rsidRDefault="00F93D13" w:rsidP="00177AE1">
            <w:pPr>
              <w:spacing w:after="0" w:line="240" w:lineRule="auto"/>
              <w:rPr>
                <w:rFonts w:ascii="Garamond" w:eastAsia="Times New Roman" w:hAnsi="Garamond" w:cstheme="minorHAnsi"/>
                <w:lang w:eastAsia="it-IT"/>
              </w:rPr>
            </w:pPr>
          </w:p>
        </w:tc>
      </w:tr>
      <w:tr w:rsidR="00F93D13" w:rsidRPr="00B50AD7" w14:paraId="10D48975" w14:textId="77777777" w:rsidTr="00CE7BF5">
        <w:trPr>
          <w:trHeight w:val="156"/>
        </w:trPr>
        <w:tc>
          <w:tcPr>
            <w:tcW w:w="1510" w:type="pct"/>
            <w:gridSpan w:val="2"/>
            <w:tcBorders>
              <w:top w:val="nil"/>
              <w:left w:val="nil"/>
              <w:bottom w:val="single" w:sz="2" w:space="0" w:color="auto"/>
              <w:right w:val="nil"/>
            </w:tcBorders>
            <w:shd w:val="clear" w:color="auto" w:fill="auto"/>
            <w:vAlign w:val="center"/>
            <w:hideMark/>
          </w:tcPr>
          <w:p w14:paraId="58A87062" w14:textId="77777777" w:rsidR="00F93D13" w:rsidRPr="00B50AD7" w:rsidRDefault="00F93D13" w:rsidP="00177AE1">
            <w:pPr>
              <w:spacing w:after="0" w:line="240" w:lineRule="auto"/>
              <w:rPr>
                <w:rFonts w:ascii="Garamond" w:eastAsia="Times New Roman" w:hAnsi="Garamond" w:cstheme="minorHAnsi"/>
                <w:color w:val="000000"/>
                <w:lang w:eastAsia="it-IT"/>
              </w:rPr>
            </w:pPr>
          </w:p>
        </w:tc>
        <w:tc>
          <w:tcPr>
            <w:tcW w:w="901" w:type="pct"/>
            <w:tcBorders>
              <w:top w:val="nil"/>
              <w:left w:val="nil"/>
              <w:bottom w:val="single" w:sz="2" w:space="0" w:color="auto"/>
              <w:right w:val="nil"/>
            </w:tcBorders>
            <w:shd w:val="clear" w:color="auto" w:fill="auto"/>
            <w:vAlign w:val="center"/>
            <w:hideMark/>
          </w:tcPr>
          <w:p w14:paraId="50EC510B" w14:textId="77777777" w:rsidR="00F93D13" w:rsidRPr="00B50AD7" w:rsidRDefault="00F93D13" w:rsidP="00177AE1">
            <w:pPr>
              <w:spacing w:after="0" w:line="240" w:lineRule="auto"/>
              <w:rPr>
                <w:rFonts w:ascii="Garamond" w:eastAsia="Times New Roman" w:hAnsi="Garamond" w:cstheme="minorHAnsi"/>
                <w:lang w:eastAsia="it-IT"/>
              </w:rPr>
            </w:pPr>
          </w:p>
        </w:tc>
        <w:tc>
          <w:tcPr>
            <w:tcW w:w="1331" w:type="pct"/>
            <w:tcBorders>
              <w:top w:val="nil"/>
              <w:left w:val="nil"/>
              <w:bottom w:val="single" w:sz="2" w:space="0" w:color="auto"/>
              <w:right w:val="nil"/>
            </w:tcBorders>
            <w:shd w:val="clear" w:color="auto" w:fill="auto"/>
            <w:vAlign w:val="center"/>
            <w:hideMark/>
          </w:tcPr>
          <w:p w14:paraId="14EDECFD" w14:textId="77777777" w:rsidR="00F93D13" w:rsidRPr="00B50AD7" w:rsidRDefault="00F93D13" w:rsidP="00177AE1">
            <w:pPr>
              <w:spacing w:after="0" w:line="240" w:lineRule="auto"/>
              <w:jc w:val="right"/>
              <w:rPr>
                <w:rFonts w:ascii="Garamond" w:eastAsia="Times New Roman" w:hAnsi="Garamond" w:cstheme="minorHAnsi"/>
                <w:lang w:eastAsia="it-IT"/>
              </w:rPr>
            </w:pPr>
          </w:p>
        </w:tc>
        <w:tc>
          <w:tcPr>
            <w:tcW w:w="157" w:type="pct"/>
            <w:tcBorders>
              <w:top w:val="nil"/>
              <w:left w:val="nil"/>
              <w:bottom w:val="single" w:sz="2" w:space="0" w:color="auto"/>
              <w:right w:val="nil"/>
            </w:tcBorders>
            <w:shd w:val="clear" w:color="auto" w:fill="auto"/>
            <w:vAlign w:val="center"/>
            <w:hideMark/>
          </w:tcPr>
          <w:p w14:paraId="06A95F29" w14:textId="77777777" w:rsidR="00F93D13" w:rsidRPr="00B50AD7" w:rsidRDefault="00F93D13" w:rsidP="00177AE1">
            <w:pPr>
              <w:spacing w:after="0" w:line="240" w:lineRule="auto"/>
              <w:jc w:val="right"/>
              <w:rPr>
                <w:rFonts w:ascii="Garamond" w:eastAsia="Times New Roman" w:hAnsi="Garamond" w:cstheme="minorHAnsi"/>
                <w:lang w:eastAsia="it-IT"/>
              </w:rPr>
            </w:pPr>
          </w:p>
        </w:tc>
        <w:tc>
          <w:tcPr>
            <w:tcW w:w="1101" w:type="pct"/>
            <w:tcBorders>
              <w:top w:val="nil"/>
              <w:left w:val="nil"/>
              <w:bottom w:val="single" w:sz="2" w:space="0" w:color="auto"/>
              <w:right w:val="nil"/>
            </w:tcBorders>
            <w:shd w:val="clear" w:color="auto" w:fill="auto"/>
            <w:noWrap/>
            <w:vAlign w:val="center"/>
            <w:hideMark/>
          </w:tcPr>
          <w:p w14:paraId="2AB452AE" w14:textId="77777777" w:rsidR="00F93D13" w:rsidRPr="00B50AD7" w:rsidRDefault="00F93D13" w:rsidP="00177AE1">
            <w:pPr>
              <w:spacing w:after="0" w:line="240" w:lineRule="auto"/>
              <w:jc w:val="right"/>
              <w:rPr>
                <w:rFonts w:ascii="Garamond" w:eastAsia="Times New Roman" w:hAnsi="Garamond" w:cstheme="minorHAnsi"/>
                <w:lang w:eastAsia="it-IT"/>
              </w:rPr>
            </w:pPr>
          </w:p>
        </w:tc>
      </w:tr>
      <w:tr w:rsidR="00F93D13" w:rsidRPr="00B50AD7" w14:paraId="7A2BB2E9" w14:textId="77777777" w:rsidTr="00CE7BF5">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auto" w:fill="234E79"/>
            <w:vAlign w:val="center"/>
            <w:hideMark/>
          </w:tcPr>
          <w:p w14:paraId="48A1129B" w14:textId="799C27E5" w:rsidR="00F93D13" w:rsidRPr="00B50AD7" w:rsidRDefault="00F93D13" w:rsidP="00177AE1">
            <w:pPr>
              <w:spacing w:after="0" w:line="240" w:lineRule="auto"/>
              <w:jc w:val="center"/>
              <w:rPr>
                <w:rFonts w:ascii="Garamond" w:eastAsia="Times New Roman" w:hAnsi="Garamond" w:cstheme="minorHAnsi"/>
                <w:b/>
                <w:bCs/>
                <w:color w:val="FFFFFF"/>
                <w:lang w:eastAsia="it-IT"/>
              </w:rPr>
            </w:pPr>
            <w:proofErr w:type="gramStart"/>
            <w:r w:rsidRPr="00B50AD7">
              <w:rPr>
                <w:rFonts w:ascii="Garamond" w:eastAsia="Times New Roman" w:hAnsi="Garamond" w:cstheme="minorHAnsi"/>
                <w:b/>
                <w:bCs/>
                <w:color w:val="FFFFFF"/>
                <w:lang w:eastAsia="it-IT"/>
              </w:rPr>
              <w:t xml:space="preserve">Anagrafica </w:t>
            </w:r>
            <w:r w:rsidR="00817892">
              <w:rPr>
                <w:rFonts w:ascii="Garamond" w:eastAsia="Times New Roman" w:hAnsi="Garamond" w:cstheme="minorHAnsi"/>
                <w:b/>
                <w:bCs/>
                <w:color w:val="FFFFFF"/>
                <w:lang w:eastAsia="it-IT"/>
              </w:rPr>
              <w:t>progetto</w:t>
            </w:r>
            <w:proofErr w:type="gramEnd"/>
          </w:p>
        </w:tc>
      </w:tr>
      <w:tr w:rsidR="00F93D13" w:rsidRPr="00B50AD7" w14:paraId="00700542"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16464C5B" w14:textId="56A4FF80" w:rsidR="00F93D13" w:rsidRPr="00B50AD7" w:rsidRDefault="0033394A"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progetto</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1EC002C" w14:textId="77777777" w:rsidR="00F93D13" w:rsidRPr="00B50AD7" w:rsidRDefault="00F93D13" w:rsidP="00177AE1">
            <w:pPr>
              <w:spacing w:after="0" w:line="240" w:lineRule="auto"/>
              <w:rPr>
                <w:rFonts w:ascii="Garamond" w:eastAsia="Times New Roman" w:hAnsi="Garamond" w:cstheme="minorHAnsi"/>
                <w:lang w:eastAsia="it-IT"/>
              </w:rPr>
            </w:pPr>
          </w:p>
        </w:tc>
      </w:tr>
      <w:tr w:rsidR="00F93D13" w:rsidRPr="00B50AD7" w14:paraId="1BEC2746"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140014B4" w14:textId="165E13EA" w:rsidR="00F93D13" w:rsidRPr="00B50AD7" w:rsidRDefault="0033394A"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Soggetto beneficiario</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226FF67" w14:textId="77777777" w:rsidR="00F93D13" w:rsidRPr="00B50AD7" w:rsidRDefault="00F93D13" w:rsidP="00177AE1">
            <w:pPr>
              <w:spacing w:after="0" w:line="240" w:lineRule="auto"/>
              <w:rPr>
                <w:rFonts w:ascii="Garamond" w:eastAsia="Times New Roman" w:hAnsi="Garamond" w:cstheme="minorHAnsi"/>
                <w:lang w:eastAsia="it-IT"/>
              </w:rPr>
            </w:pPr>
          </w:p>
        </w:tc>
      </w:tr>
      <w:tr w:rsidR="00F93D13" w:rsidRPr="00B50AD7" w14:paraId="54C0B54E"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46AEAE61" w14:textId="0BB310D3" w:rsidR="00F93D13" w:rsidRPr="00B50AD7" w:rsidRDefault="008B4390"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Obiettivo specifico</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6648BE4" w14:textId="77777777" w:rsidR="00F93D13" w:rsidRPr="00B50AD7" w:rsidRDefault="00F93D13" w:rsidP="00177AE1">
            <w:pPr>
              <w:spacing w:after="0" w:line="240" w:lineRule="auto"/>
              <w:rPr>
                <w:rFonts w:ascii="Garamond" w:eastAsia="Times New Roman" w:hAnsi="Garamond" w:cstheme="minorHAnsi"/>
                <w:lang w:eastAsia="it-IT"/>
              </w:rPr>
            </w:pPr>
          </w:p>
        </w:tc>
      </w:tr>
      <w:tr w:rsidR="00F93D13" w:rsidRPr="00B50AD7" w14:paraId="6E64446E" w14:textId="77777777" w:rsidTr="00B23038">
        <w:trPr>
          <w:trHeight w:val="412"/>
        </w:trPr>
        <w:tc>
          <w:tcPr>
            <w:tcW w:w="1305" w:type="pct"/>
            <w:vMerge w:val="restart"/>
            <w:tcBorders>
              <w:top w:val="single" w:sz="2" w:space="0" w:color="auto"/>
              <w:left w:val="single" w:sz="2" w:space="0" w:color="auto"/>
              <w:right w:val="single" w:sz="2" w:space="0" w:color="auto"/>
            </w:tcBorders>
            <w:shd w:val="clear" w:color="auto" w:fill="234E79"/>
            <w:vAlign w:val="center"/>
          </w:tcPr>
          <w:p w14:paraId="4C5C4F9E" w14:textId="77777777" w:rsidR="00F93D13" w:rsidRDefault="00F93D13" w:rsidP="00177AE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C673957" w14:textId="77777777" w:rsidR="00F93D13" w:rsidRPr="00B50AD7" w:rsidRDefault="00F93D13"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r>
      <w:tr w:rsidR="00F93D13" w:rsidRPr="00B50AD7" w14:paraId="174026EA" w14:textId="77777777" w:rsidTr="00B23038">
        <w:trPr>
          <w:trHeight w:val="438"/>
        </w:trPr>
        <w:tc>
          <w:tcPr>
            <w:tcW w:w="1305" w:type="pct"/>
            <w:vMerge/>
            <w:tcBorders>
              <w:left w:val="single" w:sz="2" w:space="0" w:color="auto"/>
              <w:bottom w:val="single" w:sz="2" w:space="0" w:color="auto"/>
              <w:right w:val="single" w:sz="2" w:space="0" w:color="auto"/>
            </w:tcBorders>
            <w:shd w:val="clear" w:color="auto" w:fill="234E79"/>
            <w:vAlign w:val="center"/>
          </w:tcPr>
          <w:p w14:paraId="43A2F27E" w14:textId="77777777" w:rsidR="00F93D13" w:rsidRPr="003D1AE6" w:rsidRDefault="00F93D13" w:rsidP="00177AE1">
            <w:pPr>
              <w:spacing w:after="0" w:line="240" w:lineRule="auto"/>
              <w:jc w:val="right"/>
              <w:rPr>
                <w:rFonts w:ascii="Garamond" w:eastAsia="Times New Roman" w:hAnsi="Garamond" w:cstheme="minorHAnsi"/>
                <w:b/>
                <w:bCs/>
                <w:color w:val="FFFFFF"/>
                <w:highlight w:val="yellow"/>
                <w:lang w:eastAsia="it-IT"/>
              </w:rPr>
            </w:pP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5D3D968D" w14:textId="77777777" w:rsidR="00F93D13" w:rsidRPr="00EB377B" w:rsidRDefault="00F93D13" w:rsidP="00177AE1">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r>
      <w:tr w:rsidR="00F93D13" w:rsidRPr="00B50AD7" w14:paraId="7078DEC7"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0A790B29" w14:textId="024B2816" w:rsidR="00F93D13" w:rsidRPr="003D1AE6" w:rsidRDefault="00EE5E26" w:rsidP="00177AE1">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Nominativo del controller</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0ADE588" w14:textId="77777777" w:rsidR="00F93D13" w:rsidRPr="00EB377B" w:rsidRDefault="00F93D13" w:rsidP="00177AE1">
            <w:pPr>
              <w:spacing w:after="0" w:line="240" w:lineRule="auto"/>
              <w:rPr>
                <w:rFonts w:ascii="Garamond" w:eastAsia="Times New Roman" w:hAnsi="Garamond" w:cstheme="minorHAnsi"/>
                <w:lang w:eastAsia="it-IT"/>
              </w:rPr>
            </w:pPr>
          </w:p>
        </w:tc>
      </w:tr>
      <w:tr w:rsidR="00F93D13" w:rsidRPr="00B50AD7" w14:paraId="070765A3" w14:textId="77777777" w:rsidTr="00B23038">
        <w:trPr>
          <w:trHeight w:val="538"/>
        </w:trPr>
        <w:tc>
          <w:tcPr>
            <w:tcW w:w="1305" w:type="pct"/>
            <w:tcBorders>
              <w:top w:val="single" w:sz="4" w:space="0" w:color="000000" w:themeColor="text1"/>
              <w:left w:val="single" w:sz="2" w:space="0" w:color="auto"/>
              <w:bottom w:val="single" w:sz="2" w:space="0" w:color="auto"/>
              <w:right w:val="single" w:sz="2" w:space="0" w:color="auto"/>
            </w:tcBorders>
            <w:shd w:val="clear" w:color="auto" w:fill="234E79"/>
            <w:vAlign w:val="center"/>
          </w:tcPr>
          <w:p w14:paraId="585AEA85" w14:textId="4E77C7CA" w:rsidR="00F93D13" w:rsidRPr="00B50AD7" w:rsidRDefault="00F93D13"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2E3D326" w14:textId="77777777" w:rsidR="00F93D13" w:rsidRDefault="00F93D13" w:rsidP="00177AE1">
            <w:pPr>
              <w:spacing w:after="0" w:line="240" w:lineRule="auto"/>
              <w:rPr>
                <w:rFonts w:ascii="Garamond" w:eastAsia="Times New Roman" w:hAnsi="Garamond" w:cstheme="minorHAnsi"/>
                <w:lang w:eastAsia="it-IT"/>
              </w:rPr>
            </w:pPr>
          </w:p>
          <w:p w14:paraId="692822AF" w14:textId="77777777" w:rsidR="00F93D13" w:rsidRDefault="00F93D13" w:rsidP="00177AE1">
            <w:pPr>
              <w:spacing w:after="0" w:line="240" w:lineRule="auto"/>
              <w:rPr>
                <w:rFonts w:ascii="Garamond" w:eastAsia="Times New Roman" w:hAnsi="Garamond" w:cstheme="minorHAnsi"/>
                <w:lang w:eastAsia="it-IT"/>
              </w:rPr>
            </w:pPr>
          </w:p>
        </w:tc>
      </w:tr>
      <w:tr w:rsidR="00F93D13" w:rsidRPr="00B50AD7" w14:paraId="74C9C5D9" w14:textId="77777777" w:rsidTr="00B23038">
        <w:trPr>
          <w:trHeight w:val="538"/>
        </w:trPr>
        <w:tc>
          <w:tcPr>
            <w:tcW w:w="1305" w:type="pct"/>
            <w:tcBorders>
              <w:top w:val="single" w:sz="4" w:space="0" w:color="000000" w:themeColor="text1"/>
              <w:left w:val="single" w:sz="2" w:space="0" w:color="auto"/>
              <w:bottom w:val="single" w:sz="2" w:space="0" w:color="auto"/>
              <w:right w:val="single" w:sz="2" w:space="0" w:color="auto"/>
            </w:tcBorders>
            <w:shd w:val="clear" w:color="auto" w:fill="234E79"/>
            <w:vAlign w:val="center"/>
          </w:tcPr>
          <w:p w14:paraId="50D458B0" w14:textId="77777777" w:rsidR="00F93D13" w:rsidRDefault="00F93D13" w:rsidP="00E0486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D5B2975" w14:textId="77777777" w:rsidR="00F93D13" w:rsidRDefault="00F93D13" w:rsidP="00177AE1">
            <w:pPr>
              <w:spacing w:after="0" w:line="240" w:lineRule="auto"/>
              <w:rPr>
                <w:rFonts w:ascii="Garamond" w:eastAsia="Times New Roman" w:hAnsi="Garamond" w:cstheme="minorHAnsi"/>
                <w:lang w:eastAsia="it-IT"/>
              </w:rPr>
            </w:pPr>
          </w:p>
        </w:tc>
      </w:tr>
      <w:tr w:rsidR="00F10821" w:rsidRPr="00B50AD7" w14:paraId="7DF99CFE" w14:textId="77777777" w:rsidTr="00B23038">
        <w:trPr>
          <w:trHeight w:val="838"/>
        </w:trPr>
        <w:tc>
          <w:tcPr>
            <w:tcW w:w="1305" w:type="pct"/>
            <w:tcBorders>
              <w:top w:val="single" w:sz="2" w:space="0" w:color="auto"/>
              <w:left w:val="single" w:sz="2" w:space="0" w:color="auto"/>
              <w:bottom w:val="single" w:sz="4" w:space="0" w:color="auto"/>
              <w:right w:val="single" w:sz="2" w:space="0" w:color="auto"/>
            </w:tcBorders>
            <w:shd w:val="clear" w:color="auto" w:fill="234E79"/>
            <w:vAlign w:val="center"/>
          </w:tcPr>
          <w:p w14:paraId="49F50697" w14:textId="77777777" w:rsidR="00F10821" w:rsidRPr="00B50AD7" w:rsidRDefault="00F10821"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695" w:type="pct"/>
            <w:gridSpan w:val="5"/>
            <w:tcBorders>
              <w:top w:val="single" w:sz="2" w:space="0" w:color="auto"/>
              <w:left w:val="single" w:sz="2" w:space="0" w:color="auto"/>
              <w:bottom w:val="single" w:sz="4" w:space="0" w:color="auto"/>
              <w:right w:val="single" w:sz="2" w:space="0" w:color="auto"/>
            </w:tcBorders>
            <w:shd w:val="clear" w:color="auto" w:fill="auto"/>
            <w:noWrap/>
            <w:vAlign w:val="center"/>
          </w:tcPr>
          <w:p w14:paraId="580AA672" w14:textId="77777777" w:rsidR="00F10821" w:rsidRDefault="00F10821" w:rsidP="00177AE1">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3F4C01EA" w14:textId="5288FD8E" w:rsidR="00F10821" w:rsidRDefault="00F10821" w:rsidP="00177AE1">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r>
      <w:tr w:rsidR="00F10821" w:rsidRPr="00B50AD7" w14:paraId="7DD6A392" w14:textId="77777777" w:rsidTr="00B23038">
        <w:trPr>
          <w:trHeight w:val="538"/>
        </w:trPr>
        <w:tc>
          <w:tcPr>
            <w:tcW w:w="1305" w:type="pct"/>
            <w:tcBorders>
              <w:top w:val="single" w:sz="4" w:space="0" w:color="auto"/>
              <w:left w:val="single" w:sz="2" w:space="0" w:color="auto"/>
              <w:bottom w:val="single" w:sz="2" w:space="0" w:color="auto"/>
              <w:right w:val="single" w:sz="2" w:space="0" w:color="auto"/>
            </w:tcBorders>
            <w:shd w:val="clear" w:color="auto" w:fill="234E79"/>
            <w:vAlign w:val="center"/>
            <w:hideMark/>
          </w:tcPr>
          <w:p w14:paraId="24141E96" w14:textId="5550CB7C" w:rsidR="00F10821" w:rsidRPr="00B50AD7" w:rsidRDefault="00F10821"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sidR="00831071">
              <w:rPr>
                <w:rFonts w:ascii="Garamond" w:eastAsia="Times New Roman" w:hAnsi="Garamond" w:cstheme="minorHAnsi"/>
                <w:b/>
                <w:bCs/>
                <w:color w:val="FFFFFF"/>
                <w:lang w:eastAsia="it-IT"/>
              </w:rPr>
              <w:t>progetto</w:t>
            </w:r>
            <w:r>
              <w:rPr>
                <w:rFonts w:ascii="Garamond" w:eastAsia="Times New Roman" w:hAnsi="Garamond" w:cstheme="minorHAnsi"/>
                <w:b/>
                <w:bCs/>
                <w:color w:val="FFFFFF"/>
                <w:lang w:eastAsia="it-IT"/>
              </w:rPr>
              <w:t xml:space="preserve"> (€)</w:t>
            </w:r>
          </w:p>
        </w:tc>
        <w:tc>
          <w:tcPr>
            <w:tcW w:w="3695" w:type="pct"/>
            <w:gridSpan w:val="5"/>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32E62D25" w14:textId="77777777" w:rsidR="00F10821" w:rsidRPr="00B50AD7" w:rsidRDefault="00F10821"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F10821" w:rsidRPr="00B50AD7" w14:paraId="49168BE0"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hideMark/>
          </w:tcPr>
          <w:p w14:paraId="03CE623E" w14:textId="5BE4AFC0" w:rsidR="00F10821" w:rsidRPr="00837C01" w:rsidRDefault="00F10821" w:rsidP="00177AE1">
            <w:pPr>
              <w:spacing w:after="0" w:line="240" w:lineRule="auto"/>
              <w:jc w:val="right"/>
              <w:rPr>
                <w:rFonts w:ascii="Garamond" w:eastAsia="Times New Roman" w:hAnsi="Garamond" w:cstheme="minorHAnsi"/>
                <w:b/>
                <w:bCs/>
                <w:color w:val="000000" w:themeColor="text1"/>
                <w:lang w:eastAsia="it-IT"/>
              </w:rPr>
            </w:pPr>
            <w:r w:rsidRPr="00333C13">
              <w:rPr>
                <w:rFonts w:ascii="Garamond" w:eastAsia="Times New Roman" w:hAnsi="Garamond" w:cstheme="minorHAnsi"/>
                <w:b/>
                <w:bCs/>
                <w:color w:val="FFFFFF" w:themeColor="background1"/>
                <w:lang w:eastAsia="it-IT"/>
              </w:rPr>
              <w:t xml:space="preserve">di cui costo ammesso </w:t>
            </w:r>
            <w:r w:rsidR="00831071" w:rsidRPr="00333C13">
              <w:rPr>
                <w:rFonts w:ascii="Garamond" w:eastAsia="Times New Roman" w:hAnsi="Garamond" w:cstheme="minorHAnsi"/>
                <w:b/>
                <w:bCs/>
                <w:color w:val="FFFFFF" w:themeColor="background1"/>
                <w:lang w:eastAsia="it-IT"/>
              </w:rPr>
              <w:t>al P</w:t>
            </w:r>
            <w:r w:rsidR="00656242" w:rsidRPr="00333C13">
              <w:rPr>
                <w:rFonts w:ascii="Garamond" w:eastAsia="Times New Roman" w:hAnsi="Garamond" w:cstheme="minorHAnsi"/>
                <w:b/>
                <w:bCs/>
                <w:color w:val="FFFFFF" w:themeColor="background1"/>
                <w:lang w:eastAsia="it-IT"/>
              </w:rPr>
              <w:t>O</w:t>
            </w:r>
            <w:r w:rsidR="00831071" w:rsidRPr="00333C13">
              <w:rPr>
                <w:rFonts w:ascii="Garamond" w:eastAsia="Times New Roman" w:hAnsi="Garamond" w:cstheme="minorHAnsi"/>
                <w:b/>
                <w:bCs/>
                <w:color w:val="FFFFFF" w:themeColor="background1"/>
                <w:lang w:eastAsia="it-IT"/>
              </w:rPr>
              <w:t xml:space="preserve"> </w:t>
            </w:r>
            <w:r w:rsidR="00656242" w:rsidRPr="00333C13">
              <w:rPr>
                <w:rFonts w:ascii="Garamond" w:eastAsia="Times New Roman" w:hAnsi="Garamond" w:cstheme="minorHAnsi"/>
                <w:b/>
                <w:bCs/>
                <w:color w:val="FFFFFF" w:themeColor="background1"/>
                <w:lang w:eastAsia="it-IT"/>
              </w:rPr>
              <w:t>FEAD</w:t>
            </w:r>
            <w:r w:rsidRPr="00333C13">
              <w:rPr>
                <w:rFonts w:ascii="Garamond" w:eastAsia="Times New Roman" w:hAnsi="Garamond" w:cstheme="minorHAnsi"/>
                <w:b/>
                <w:bCs/>
                <w:color w:val="FFFFFF" w:themeColor="background1"/>
                <w:lang w:eastAsia="it-IT"/>
              </w:rPr>
              <w:t xml:space="preserve"> </w:t>
            </w:r>
            <w:r w:rsidR="00831071" w:rsidRPr="00333C13">
              <w:rPr>
                <w:rFonts w:ascii="Garamond" w:eastAsia="Times New Roman" w:hAnsi="Garamond" w:cstheme="minorHAnsi"/>
                <w:b/>
                <w:bCs/>
                <w:color w:val="FFFFFF" w:themeColor="background1"/>
                <w:lang w:eastAsia="it-IT"/>
              </w:rPr>
              <w:t>20</w:t>
            </w:r>
            <w:r w:rsidR="00656242" w:rsidRPr="00333C13">
              <w:rPr>
                <w:rFonts w:ascii="Garamond" w:eastAsia="Times New Roman" w:hAnsi="Garamond" w:cstheme="minorHAnsi"/>
                <w:b/>
                <w:bCs/>
                <w:color w:val="FFFFFF" w:themeColor="background1"/>
                <w:lang w:eastAsia="it-IT"/>
              </w:rPr>
              <w:t>14-</w:t>
            </w:r>
            <w:r w:rsidR="00831071" w:rsidRPr="00333C13">
              <w:rPr>
                <w:rFonts w:ascii="Garamond" w:eastAsia="Times New Roman" w:hAnsi="Garamond" w:cstheme="minorHAnsi"/>
                <w:b/>
                <w:bCs/>
                <w:color w:val="FFFFFF" w:themeColor="background1"/>
                <w:lang w:eastAsia="it-IT"/>
              </w:rPr>
              <w:t>202</w:t>
            </w:r>
            <w:r w:rsidR="00333C13" w:rsidRPr="00333C13">
              <w:rPr>
                <w:rFonts w:ascii="Garamond" w:eastAsia="Times New Roman" w:hAnsi="Garamond" w:cstheme="minorHAnsi"/>
                <w:b/>
                <w:bCs/>
                <w:color w:val="FFFFFF" w:themeColor="background1"/>
                <w:lang w:eastAsia="it-IT"/>
              </w:rPr>
              <w:t>0</w:t>
            </w:r>
            <w:r w:rsidR="00831071" w:rsidRPr="00333C13">
              <w:rPr>
                <w:rFonts w:ascii="Garamond" w:eastAsia="Times New Roman" w:hAnsi="Garamond" w:cstheme="minorHAnsi"/>
                <w:b/>
                <w:bCs/>
                <w:color w:val="FFFFFF" w:themeColor="background1"/>
                <w:lang w:eastAsia="it-IT"/>
              </w:rPr>
              <w:t xml:space="preserve"> </w:t>
            </w:r>
            <w:r w:rsidRPr="00333C13">
              <w:rPr>
                <w:rFonts w:ascii="Garamond" w:eastAsia="Times New Roman" w:hAnsi="Garamond" w:cstheme="minorHAnsi"/>
                <w:b/>
                <w:bCs/>
                <w:color w:val="FFFFFF" w:themeColor="background1"/>
                <w:lang w:eastAsia="it-IT"/>
              </w:rPr>
              <w:t>(€)</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9B8F3C" w14:textId="77777777" w:rsidR="00F10821" w:rsidRPr="00B50AD7" w:rsidRDefault="00F10821"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F10821" w:rsidRPr="00B50AD7" w14:paraId="431D0734"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1D4B18F4" w14:textId="77777777" w:rsidR="00F10821" w:rsidRPr="00B50AD7" w:rsidRDefault="00F10821"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5090E2C" w14:textId="77777777" w:rsidR="00F10821" w:rsidRPr="00B50AD7" w:rsidRDefault="00F10821" w:rsidP="00177AE1">
            <w:pPr>
              <w:spacing w:after="0" w:line="240" w:lineRule="auto"/>
              <w:rPr>
                <w:rFonts w:ascii="Garamond" w:eastAsia="Times New Roman" w:hAnsi="Garamond" w:cstheme="minorHAnsi"/>
                <w:lang w:eastAsia="it-IT"/>
              </w:rPr>
            </w:pPr>
          </w:p>
        </w:tc>
      </w:tr>
      <w:tr w:rsidR="00F10821" w:rsidRPr="00B50AD7" w14:paraId="36245E54"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5D93AC79" w14:textId="77777777" w:rsidR="00F10821" w:rsidRPr="00B50AD7" w:rsidRDefault="00F10821"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54C763A" w14:textId="77777777" w:rsidR="00F10821" w:rsidRPr="00B50AD7" w:rsidRDefault="00F10821" w:rsidP="00177AE1">
            <w:pPr>
              <w:spacing w:after="0" w:line="240" w:lineRule="auto"/>
              <w:rPr>
                <w:rFonts w:ascii="Garamond" w:eastAsia="Times New Roman" w:hAnsi="Garamond" w:cstheme="minorHAnsi"/>
                <w:lang w:eastAsia="it-IT"/>
              </w:rPr>
            </w:pPr>
          </w:p>
        </w:tc>
      </w:tr>
      <w:tr w:rsidR="00CE7BF5" w:rsidRPr="00B50AD7" w14:paraId="5CA0C461" w14:textId="77777777" w:rsidTr="00B23038">
        <w:trPr>
          <w:trHeight w:val="538"/>
        </w:trPr>
        <w:tc>
          <w:tcPr>
            <w:tcW w:w="1305" w:type="pct"/>
            <w:tcBorders>
              <w:top w:val="single" w:sz="2" w:space="0" w:color="auto"/>
              <w:left w:val="single" w:sz="2" w:space="0" w:color="auto"/>
              <w:bottom w:val="single" w:sz="2" w:space="0" w:color="auto"/>
              <w:right w:val="single" w:sz="2" w:space="0" w:color="auto"/>
            </w:tcBorders>
            <w:shd w:val="clear" w:color="auto" w:fill="234E79"/>
            <w:vAlign w:val="center"/>
          </w:tcPr>
          <w:p w14:paraId="35652FD4" w14:textId="77777777" w:rsidR="00CE7BF5" w:rsidRDefault="00CE7BF5" w:rsidP="00177AE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05E8B7ED" w14:textId="77777777" w:rsidR="00CE7BF5" w:rsidRDefault="00CE7BF5" w:rsidP="00177AE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6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BE4C5C1" w14:textId="77777777" w:rsidR="00CE7BF5" w:rsidRPr="00B50AD7" w:rsidRDefault="00CE7BF5" w:rsidP="00177AE1">
            <w:pPr>
              <w:spacing w:after="0" w:line="240" w:lineRule="auto"/>
              <w:rPr>
                <w:rFonts w:ascii="Garamond" w:eastAsia="Times New Roman" w:hAnsi="Garamond" w:cstheme="minorHAnsi"/>
                <w:lang w:eastAsia="it-IT"/>
              </w:rPr>
            </w:pPr>
          </w:p>
        </w:tc>
      </w:tr>
    </w:tbl>
    <w:p w14:paraId="2C662325" w14:textId="77777777" w:rsidR="00ED65A5" w:rsidRDefault="00ED65A5" w:rsidP="00ED65A5">
      <w:pPr>
        <w:rPr>
          <w:rFonts w:ascii="Garamond" w:hAnsi="Garamond"/>
        </w:rPr>
        <w:sectPr w:rsidR="00ED65A5" w:rsidSect="0065086B">
          <w:headerReference w:type="default" r:id="rId8"/>
          <w:footerReference w:type="default" r:id="rId9"/>
          <w:pgSz w:w="11906" w:h="16838"/>
          <w:pgMar w:top="1417" w:right="1134" w:bottom="1134" w:left="1134" w:header="708" w:footer="708" w:gutter="0"/>
          <w:cols w:space="708"/>
          <w:docGrid w:linePitch="360"/>
        </w:sectPr>
      </w:pPr>
    </w:p>
    <w:tbl>
      <w:tblPr>
        <w:tblW w:w="561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4"/>
        <w:gridCol w:w="4691"/>
        <w:gridCol w:w="413"/>
        <w:gridCol w:w="567"/>
        <w:gridCol w:w="708"/>
        <w:gridCol w:w="1701"/>
        <w:gridCol w:w="1983"/>
        <w:gridCol w:w="1278"/>
        <w:gridCol w:w="3684"/>
      </w:tblGrid>
      <w:tr w:rsidR="00700BC6" w:rsidRPr="00B50AD7" w14:paraId="10F6E276" w14:textId="77777777" w:rsidTr="009B30BC">
        <w:trPr>
          <w:trHeight w:val="577"/>
          <w:tblHeader/>
        </w:trPr>
        <w:tc>
          <w:tcPr>
            <w:tcW w:w="310" w:type="pct"/>
            <w:vMerge w:val="restart"/>
            <w:shd w:val="clear" w:color="auto" w:fill="234E79"/>
            <w:vAlign w:val="center"/>
            <w:hideMark/>
          </w:tcPr>
          <w:p w14:paraId="3F77AC73" w14:textId="7304A38F" w:rsidR="00A00449"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lastRenderedPageBreak/>
              <w:t xml:space="preserve">Codici di controllo </w:t>
            </w:r>
          </w:p>
        </w:tc>
        <w:tc>
          <w:tcPr>
            <w:tcW w:w="1464" w:type="pct"/>
            <w:vMerge w:val="restart"/>
            <w:shd w:val="clear" w:color="auto" w:fill="234E79"/>
            <w:vAlign w:val="center"/>
          </w:tcPr>
          <w:p w14:paraId="0AFB1CC8" w14:textId="25F6E975" w:rsidR="00A00449" w:rsidRPr="00B50AD7" w:rsidRDefault="00A00449" w:rsidP="00177AE1">
            <w:pPr>
              <w:spacing w:after="0" w:line="240" w:lineRule="auto"/>
              <w:jc w:val="center"/>
              <w:rPr>
                <w:rFonts w:ascii="Garamond" w:eastAsia="Times New Roman" w:hAnsi="Garamond" w:cstheme="minorHAnsi"/>
                <w:b/>
                <w:bCs/>
                <w:color w:val="FFFFFF"/>
                <w:lang w:eastAsia="it-IT"/>
              </w:rPr>
            </w:pPr>
            <w:r w:rsidRPr="00A17ADE">
              <w:rPr>
                <w:rFonts w:ascii="Garamond" w:eastAsia="Times New Roman" w:hAnsi="Garamond" w:cstheme="minorHAnsi"/>
                <w:b/>
                <w:bCs/>
                <w:color w:val="FFFFFF"/>
                <w:lang w:eastAsia="it-IT"/>
              </w:rPr>
              <w:t>MACROPROCESSO DA SOTTOPORRE A CONTROLLO</w:t>
            </w:r>
          </w:p>
        </w:tc>
        <w:tc>
          <w:tcPr>
            <w:tcW w:w="527" w:type="pct"/>
            <w:gridSpan w:val="3"/>
            <w:shd w:val="clear" w:color="auto" w:fill="234E79"/>
            <w:vAlign w:val="center"/>
            <w:hideMark/>
          </w:tcPr>
          <w:p w14:paraId="629313B3" w14:textId="359B24C2" w:rsidR="00A00449" w:rsidRPr="00B50AD7" w:rsidRDefault="00A00449" w:rsidP="000C199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Esito del controllo</w:t>
            </w:r>
          </w:p>
        </w:tc>
        <w:tc>
          <w:tcPr>
            <w:tcW w:w="531" w:type="pct"/>
            <w:vMerge w:val="restart"/>
            <w:shd w:val="clear" w:color="auto" w:fill="234E79"/>
            <w:vAlign w:val="center"/>
            <w:hideMark/>
          </w:tcPr>
          <w:p w14:paraId="3F67ACD1" w14:textId="4A02E3FC" w:rsidR="00A00449" w:rsidRPr="00B50AD7"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Estremi della documentazione probatoria</w:t>
            </w:r>
          </w:p>
        </w:tc>
        <w:tc>
          <w:tcPr>
            <w:tcW w:w="619" w:type="pct"/>
            <w:vMerge w:val="restart"/>
            <w:shd w:val="clear" w:color="auto" w:fill="234E79"/>
            <w:vAlign w:val="center"/>
            <w:hideMark/>
          </w:tcPr>
          <w:p w14:paraId="075DB242" w14:textId="416D9F9B" w:rsidR="00A00449" w:rsidRPr="00B50AD7"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Commenti</w:t>
            </w:r>
          </w:p>
        </w:tc>
        <w:tc>
          <w:tcPr>
            <w:tcW w:w="399" w:type="pct"/>
            <w:vMerge w:val="restart"/>
            <w:shd w:val="clear" w:color="auto" w:fill="234E79"/>
          </w:tcPr>
          <w:p w14:paraId="080EFB82" w14:textId="77777777" w:rsidR="00A00449" w:rsidRPr="00D32D3B" w:rsidRDefault="00A00449" w:rsidP="000457F2">
            <w:pPr>
              <w:spacing w:after="0" w:line="240" w:lineRule="auto"/>
              <w:rPr>
                <w:rFonts w:ascii="Garamond" w:eastAsia="Times New Roman" w:hAnsi="Garamond" w:cstheme="minorHAnsi"/>
                <w:b/>
                <w:bCs/>
                <w:color w:val="FFFFFF"/>
                <w:lang w:eastAsia="it-IT"/>
              </w:rPr>
            </w:pPr>
            <w:r w:rsidRPr="00D32D3B">
              <w:rPr>
                <w:rFonts w:ascii="Garamond" w:eastAsia="Times New Roman" w:hAnsi="Garamond" w:cstheme="minorHAnsi"/>
                <w:b/>
                <w:bCs/>
                <w:color w:val="FFFFFF"/>
                <w:lang w:eastAsia="it-IT"/>
              </w:rPr>
              <w:t>Follow up controlli</w:t>
            </w:r>
          </w:p>
          <w:p w14:paraId="349B418B" w14:textId="41D36DBD" w:rsidR="00A00449" w:rsidRPr="008F151A" w:rsidRDefault="00A00449" w:rsidP="000457F2">
            <w:pPr>
              <w:spacing w:after="0" w:line="240" w:lineRule="auto"/>
              <w:jc w:val="center"/>
              <w:rPr>
                <w:rFonts w:ascii="Garamond" w:eastAsia="Times New Roman" w:hAnsi="Garamond" w:cstheme="minorHAnsi"/>
                <w:b/>
                <w:bCs/>
                <w:lang w:eastAsia="it-IT"/>
              </w:rPr>
            </w:pPr>
            <w:r w:rsidRPr="00D32D3B">
              <w:rPr>
                <w:rFonts w:ascii="Garamond" w:eastAsia="Times New Roman" w:hAnsi="Garamond" w:cstheme="minorHAnsi"/>
                <w:b/>
                <w:bCs/>
                <w:color w:val="FFFFFF"/>
                <w:lang w:eastAsia="it-IT"/>
              </w:rPr>
              <w:t>(riportare esito e verbali di riferimento)</w:t>
            </w:r>
          </w:p>
        </w:tc>
        <w:tc>
          <w:tcPr>
            <w:tcW w:w="1150" w:type="pct"/>
            <w:vMerge w:val="restart"/>
            <w:shd w:val="clear" w:color="auto" w:fill="234E79"/>
            <w:vAlign w:val="center"/>
          </w:tcPr>
          <w:p w14:paraId="308C49C5" w14:textId="3F8CB9F2" w:rsidR="00A00449" w:rsidRPr="008F151A" w:rsidRDefault="00D032E5" w:rsidP="003566A3">
            <w:pPr>
              <w:spacing w:after="0" w:line="240" w:lineRule="auto"/>
              <w:jc w:val="center"/>
              <w:rPr>
                <w:rFonts w:ascii="Garamond" w:eastAsia="Times New Roman" w:hAnsi="Garamond" w:cstheme="minorHAnsi"/>
                <w:b/>
                <w:bCs/>
                <w:lang w:eastAsia="it-IT"/>
              </w:rPr>
            </w:pPr>
            <w:r w:rsidRPr="00B71B5F">
              <w:rPr>
                <w:rFonts w:ascii="Garamond" w:eastAsia="Times New Roman" w:hAnsi="Garamond" w:cstheme="minorHAnsi"/>
                <w:b/>
                <w:bCs/>
                <w:color w:val="FFFFFF" w:themeColor="background1"/>
                <w:lang w:eastAsia="it-IT"/>
              </w:rPr>
              <w:t>Oggetto del controllo</w:t>
            </w:r>
            <w:r w:rsidRPr="00B71B5F">
              <w:rPr>
                <w:rStyle w:val="FootnoteReference"/>
                <w:rFonts w:ascii="Garamond" w:eastAsia="Times New Roman" w:hAnsi="Garamond" w:cstheme="minorHAnsi"/>
                <w:b/>
                <w:bCs/>
                <w:color w:val="FFFFFF" w:themeColor="background1"/>
                <w:lang w:eastAsia="it-IT"/>
              </w:rPr>
              <w:footnoteReference w:id="2"/>
            </w:r>
          </w:p>
        </w:tc>
      </w:tr>
      <w:tr w:rsidR="00CD075B" w:rsidRPr="00B50AD7" w14:paraId="3911476A" w14:textId="77777777" w:rsidTr="009B30BC">
        <w:trPr>
          <w:trHeight w:val="577"/>
          <w:tblHeader/>
        </w:trPr>
        <w:tc>
          <w:tcPr>
            <w:tcW w:w="310" w:type="pct"/>
            <w:vMerge/>
            <w:shd w:val="clear" w:color="auto" w:fill="234E79"/>
            <w:vAlign w:val="center"/>
          </w:tcPr>
          <w:p w14:paraId="0CC9BEDE" w14:textId="77777777" w:rsidR="00A00449" w:rsidRDefault="00A00449" w:rsidP="00177AE1">
            <w:pPr>
              <w:spacing w:after="0" w:line="240" w:lineRule="auto"/>
              <w:jc w:val="center"/>
              <w:rPr>
                <w:rFonts w:ascii="Garamond" w:eastAsia="Times New Roman" w:hAnsi="Garamond" w:cstheme="minorHAnsi"/>
                <w:b/>
                <w:bCs/>
                <w:color w:val="FFFFFF"/>
                <w:lang w:eastAsia="it-IT"/>
              </w:rPr>
            </w:pPr>
          </w:p>
        </w:tc>
        <w:tc>
          <w:tcPr>
            <w:tcW w:w="1464" w:type="pct"/>
            <w:vMerge/>
            <w:shd w:val="clear" w:color="auto" w:fill="234E79"/>
            <w:vAlign w:val="center"/>
          </w:tcPr>
          <w:p w14:paraId="32AC06AB" w14:textId="77777777" w:rsidR="00A00449" w:rsidRPr="00A17ADE" w:rsidRDefault="00A00449" w:rsidP="00177AE1">
            <w:pPr>
              <w:spacing w:after="0" w:line="240" w:lineRule="auto"/>
              <w:jc w:val="center"/>
              <w:rPr>
                <w:rFonts w:ascii="Garamond" w:eastAsia="Times New Roman" w:hAnsi="Garamond" w:cstheme="minorHAnsi"/>
                <w:b/>
                <w:bCs/>
                <w:color w:val="FFFFFF"/>
                <w:lang w:eastAsia="it-IT"/>
              </w:rPr>
            </w:pPr>
          </w:p>
        </w:tc>
        <w:tc>
          <w:tcPr>
            <w:tcW w:w="129" w:type="pct"/>
            <w:shd w:val="clear" w:color="auto" w:fill="234E79"/>
            <w:vAlign w:val="center"/>
          </w:tcPr>
          <w:p w14:paraId="0C88948F" w14:textId="2D3806B0" w:rsidR="00A00449" w:rsidRPr="00B50AD7"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SI</w:t>
            </w:r>
          </w:p>
        </w:tc>
        <w:tc>
          <w:tcPr>
            <w:tcW w:w="177" w:type="pct"/>
            <w:shd w:val="clear" w:color="auto" w:fill="234E79"/>
            <w:vAlign w:val="center"/>
          </w:tcPr>
          <w:p w14:paraId="6EB7DB88" w14:textId="1FFAE99C" w:rsidR="00A00449" w:rsidRPr="00B50AD7"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NO</w:t>
            </w:r>
          </w:p>
        </w:tc>
        <w:tc>
          <w:tcPr>
            <w:tcW w:w="221" w:type="pct"/>
            <w:shd w:val="clear" w:color="auto" w:fill="234E79"/>
            <w:vAlign w:val="center"/>
          </w:tcPr>
          <w:p w14:paraId="1E6DE958" w14:textId="6671153F" w:rsidR="00A00449" w:rsidRPr="00B50AD7" w:rsidRDefault="00A00449"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N.A.</w:t>
            </w:r>
          </w:p>
        </w:tc>
        <w:tc>
          <w:tcPr>
            <w:tcW w:w="531" w:type="pct"/>
            <w:vMerge/>
            <w:shd w:val="clear" w:color="auto" w:fill="234E79"/>
            <w:vAlign w:val="center"/>
          </w:tcPr>
          <w:p w14:paraId="799D8F09" w14:textId="77777777" w:rsidR="00A00449" w:rsidRDefault="00A00449" w:rsidP="00177AE1">
            <w:pPr>
              <w:spacing w:after="0" w:line="240" w:lineRule="auto"/>
              <w:jc w:val="center"/>
              <w:rPr>
                <w:rFonts w:ascii="Garamond" w:eastAsia="Times New Roman" w:hAnsi="Garamond" w:cstheme="minorHAnsi"/>
                <w:b/>
                <w:bCs/>
                <w:color w:val="FFFFFF"/>
                <w:lang w:eastAsia="it-IT"/>
              </w:rPr>
            </w:pPr>
          </w:p>
        </w:tc>
        <w:tc>
          <w:tcPr>
            <w:tcW w:w="619" w:type="pct"/>
            <w:vMerge/>
            <w:shd w:val="clear" w:color="auto" w:fill="234E79"/>
            <w:vAlign w:val="center"/>
          </w:tcPr>
          <w:p w14:paraId="2C8543B5" w14:textId="77777777" w:rsidR="00A00449" w:rsidRPr="00B50AD7" w:rsidRDefault="00A00449" w:rsidP="00177AE1">
            <w:pPr>
              <w:spacing w:after="0" w:line="240" w:lineRule="auto"/>
              <w:jc w:val="center"/>
              <w:rPr>
                <w:rFonts w:ascii="Garamond" w:eastAsia="Times New Roman" w:hAnsi="Garamond" w:cstheme="minorHAnsi"/>
                <w:b/>
                <w:bCs/>
                <w:color w:val="FFFFFF"/>
                <w:lang w:eastAsia="it-IT"/>
              </w:rPr>
            </w:pPr>
          </w:p>
        </w:tc>
        <w:tc>
          <w:tcPr>
            <w:tcW w:w="399" w:type="pct"/>
            <w:vMerge/>
            <w:shd w:val="clear" w:color="auto" w:fill="234E79"/>
          </w:tcPr>
          <w:p w14:paraId="7EA35CFF" w14:textId="77777777" w:rsidR="00A00449" w:rsidRPr="008F151A" w:rsidRDefault="00A00449" w:rsidP="00177AE1">
            <w:pPr>
              <w:spacing w:after="0" w:line="240" w:lineRule="auto"/>
              <w:jc w:val="center"/>
              <w:rPr>
                <w:rFonts w:ascii="Garamond" w:eastAsia="Times New Roman" w:hAnsi="Garamond" w:cstheme="minorHAnsi"/>
                <w:b/>
                <w:bCs/>
                <w:lang w:eastAsia="it-IT"/>
              </w:rPr>
            </w:pPr>
          </w:p>
        </w:tc>
        <w:tc>
          <w:tcPr>
            <w:tcW w:w="1150" w:type="pct"/>
            <w:vMerge/>
            <w:shd w:val="clear" w:color="auto" w:fill="234E79"/>
            <w:vAlign w:val="center"/>
          </w:tcPr>
          <w:p w14:paraId="0F833EEA" w14:textId="2BC9FAB3" w:rsidR="00A00449" w:rsidRPr="008F151A" w:rsidRDefault="00A00449" w:rsidP="00177AE1">
            <w:pPr>
              <w:spacing w:after="0" w:line="240" w:lineRule="auto"/>
              <w:jc w:val="center"/>
              <w:rPr>
                <w:rFonts w:ascii="Garamond" w:eastAsia="Times New Roman" w:hAnsi="Garamond" w:cstheme="minorHAnsi"/>
                <w:b/>
                <w:bCs/>
                <w:lang w:eastAsia="it-IT"/>
              </w:rPr>
            </w:pPr>
          </w:p>
        </w:tc>
      </w:tr>
      <w:tr w:rsidR="00B42453" w:rsidRPr="00023F3C" w14:paraId="08BDA7CF" w14:textId="77777777" w:rsidTr="00E7285B">
        <w:trPr>
          <w:trHeight w:val="883"/>
        </w:trPr>
        <w:tc>
          <w:tcPr>
            <w:tcW w:w="310" w:type="pct"/>
            <w:shd w:val="clear" w:color="auto" w:fill="B4C6E7" w:themeFill="accent1" w:themeFillTint="66"/>
            <w:vAlign w:val="center"/>
          </w:tcPr>
          <w:p w14:paraId="7874A997" w14:textId="4B5FC4B6" w:rsidR="00B42453" w:rsidRPr="002C13A0" w:rsidRDefault="00126734" w:rsidP="00B42453">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690" w:type="pct"/>
            <w:gridSpan w:val="8"/>
            <w:shd w:val="clear" w:color="auto" w:fill="B4C6E7" w:themeFill="accent1" w:themeFillTint="66"/>
            <w:vAlign w:val="center"/>
          </w:tcPr>
          <w:p w14:paraId="2E9AEE88" w14:textId="28C0AC62" w:rsidR="00B42453" w:rsidRPr="00023F3C" w:rsidRDefault="00B42453"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A00449" w:rsidRPr="00023F3C" w14:paraId="03B947A1" w14:textId="714B145C" w:rsidTr="009B30BC">
        <w:trPr>
          <w:trHeight w:val="1417"/>
        </w:trPr>
        <w:tc>
          <w:tcPr>
            <w:tcW w:w="310" w:type="pct"/>
            <w:shd w:val="clear" w:color="auto" w:fill="auto"/>
            <w:vAlign w:val="center"/>
          </w:tcPr>
          <w:p w14:paraId="6EDB5FDA" w14:textId="05E4A133" w:rsidR="000C55EC" w:rsidRPr="008B4911" w:rsidRDefault="000C55EC"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70F91C1D" w14:textId="33F0BE5D" w:rsidR="000C55EC" w:rsidRPr="00023F3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29" w:type="pct"/>
            <w:shd w:val="clear" w:color="auto" w:fill="auto"/>
            <w:vAlign w:val="center"/>
          </w:tcPr>
          <w:p w14:paraId="1FB8705C" w14:textId="35C3B3E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1BB3B96" w14:textId="2FD97D09"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6E9ABE2" w14:textId="459E8D1F"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D73AE08" w14:textId="6E98C9B5"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9E84AD3" w14:textId="767F10B9" w:rsidR="000C55EC" w:rsidRPr="00046109" w:rsidRDefault="000C55EC" w:rsidP="00484691">
            <w:pPr>
              <w:spacing w:after="0" w:line="240" w:lineRule="auto"/>
              <w:jc w:val="both"/>
              <w:rPr>
                <w:rFonts w:ascii="Garamond" w:eastAsia="Times New Roman" w:hAnsi="Garamond" w:cs="Times New Roman"/>
                <w:color w:val="000000"/>
                <w:lang w:eastAsia="it-IT"/>
              </w:rPr>
            </w:pPr>
          </w:p>
        </w:tc>
        <w:tc>
          <w:tcPr>
            <w:tcW w:w="399" w:type="pct"/>
          </w:tcPr>
          <w:p w14:paraId="1E21EC13" w14:textId="77777777" w:rsidR="000C55EC"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3089D8D3" w14:textId="77777777" w:rsidR="00226A4E" w:rsidRPr="00885E63" w:rsidRDefault="00226A4E" w:rsidP="00226A4E">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Programma triennale dei </w:t>
            </w:r>
            <w:r>
              <w:rPr>
                <w:rFonts w:ascii="Garamond" w:eastAsia="Times New Roman" w:hAnsi="Garamond" w:cs="Times New Roman"/>
                <w:color w:val="000000"/>
                <w:lang w:eastAsia="it-IT"/>
              </w:rPr>
              <w:t>servizi e forniture</w:t>
            </w:r>
          </w:p>
          <w:p w14:paraId="334FE361" w14:textId="77777777" w:rsidR="00226A4E" w:rsidRPr="00885E63" w:rsidRDefault="00226A4E" w:rsidP="00226A4E">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Atto di approvazione del Programma triennale </w:t>
            </w:r>
          </w:p>
          <w:p w14:paraId="1AD2DA14" w14:textId="77777777" w:rsidR="00226A4E" w:rsidRPr="00885E63" w:rsidRDefault="00226A4E" w:rsidP="00226A4E">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Link profilo committente </w:t>
            </w:r>
          </w:p>
          <w:p w14:paraId="0ED45B25" w14:textId="260502F0" w:rsidR="000C55EC" w:rsidRPr="00023F3C" w:rsidRDefault="00226A4E" w:rsidP="00226A4E">
            <w:pPr>
              <w:spacing w:after="0" w:line="240" w:lineRule="auto"/>
              <w:jc w:val="both"/>
              <w:rPr>
                <w:rFonts w:ascii="Garamond" w:eastAsia="Times New Roman" w:hAnsi="Garamond" w:cs="Times New Roman"/>
                <w:color w:val="000000"/>
                <w:lang w:eastAsia="it-IT"/>
              </w:rPr>
            </w:pPr>
            <w:r w:rsidRPr="00885E63">
              <w:rPr>
                <w:rFonts w:ascii="Garamond" w:eastAsia="Times New Roman" w:hAnsi="Garamond" w:cs="Times New Roman"/>
                <w:color w:val="000000"/>
                <w:lang w:eastAsia="it-IT"/>
              </w:rPr>
              <w:t xml:space="preserve">• </w:t>
            </w:r>
            <w:r w:rsidRPr="008421B7">
              <w:rPr>
                <w:rFonts w:ascii="Garamond" w:eastAsia="Times New Roman" w:hAnsi="Garamond" w:cs="Times New Roman"/>
                <w:color w:val="000000"/>
                <w:lang w:eastAsia="it-IT"/>
              </w:rPr>
              <w:t>Link sito informatico del Ministero delle infrastrutture e dei trasporti e dell’Osservatorio</w:t>
            </w:r>
          </w:p>
        </w:tc>
      </w:tr>
      <w:tr w:rsidR="00A00449" w:rsidRPr="00023F3C" w14:paraId="5638D6C5" w14:textId="77777777" w:rsidTr="009B30BC">
        <w:trPr>
          <w:trHeight w:val="1009"/>
        </w:trPr>
        <w:tc>
          <w:tcPr>
            <w:tcW w:w="310" w:type="pct"/>
            <w:shd w:val="clear" w:color="auto" w:fill="auto"/>
            <w:vAlign w:val="center"/>
          </w:tcPr>
          <w:p w14:paraId="659F3385" w14:textId="6032DD74" w:rsidR="000C55EC" w:rsidRDefault="000C55EC"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27885EAB" w14:textId="77777777" w:rsidR="000C55EC" w:rsidRPr="00A0398D" w:rsidRDefault="000C55EC"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29" w:type="pct"/>
            <w:shd w:val="clear" w:color="auto" w:fill="auto"/>
            <w:vAlign w:val="center"/>
          </w:tcPr>
          <w:p w14:paraId="35A4886F"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412DAA7"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25AE15A"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3842BBC"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108EB6AC"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399" w:type="pct"/>
          </w:tcPr>
          <w:p w14:paraId="0C792571" w14:textId="77777777" w:rsidR="000C55EC" w:rsidRPr="00023F3C"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4E02A320" w14:textId="28457A7F" w:rsidR="000C55E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w:t>
            </w:r>
          </w:p>
        </w:tc>
      </w:tr>
      <w:tr w:rsidR="00A00449" w:rsidRPr="00023F3C" w14:paraId="58B581DA" w14:textId="77777777" w:rsidTr="009B30BC">
        <w:trPr>
          <w:trHeight w:val="1009"/>
        </w:trPr>
        <w:tc>
          <w:tcPr>
            <w:tcW w:w="310" w:type="pct"/>
            <w:shd w:val="clear" w:color="auto" w:fill="auto"/>
            <w:vAlign w:val="center"/>
          </w:tcPr>
          <w:p w14:paraId="0A77A6E9" w14:textId="22206289" w:rsidR="000C55EC" w:rsidRDefault="000C55EC"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245BF857" w14:textId="77777777" w:rsidR="006E1BE2" w:rsidRDefault="000C55EC" w:rsidP="00484691">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 xml:space="preserve">Per gli acquisti di beni e servizi informatici e di connettività di cui all’art. 1, comma 512, </w:t>
            </w:r>
            <w:r w:rsidR="00226A4E">
              <w:rPr>
                <w:rFonts w:ascii="Garamond" w:eastAsia="Times New Roman" w:hAnsi="Garamond" w:cs="Times New Roman"/>
                <w:color w:val="000000"/>
                <w:lang w:eastAsia="it-IT"/>
              </w:rPr>
              <w:t>della legge</w:t>
            </w:r>
            <w:r w:rsidRPr="00953DDC">
              <w:rPr>
                <w:rFonts w:ascii="Garamond" w:eastAsia="Times New Roman" w:hAnsi="Garamond" w:cs="Times New Roman"/>
                <w:color w:val="000000"/>
                <w:lang w:eastAsia="it-IT"/>
              </w:rPr>
              <w:t xml:space="preserve"> 208/2015 (Legge di stabilità) e fermi restando gli obblighi di acquisizione centralizzata previsti per i beni e servizi dalla normativa vigente, nell’ipotesi di approvvigionamenti al di fuori delle modalità di cui ai commi 512 e 514, è stata ottenuta apposita </w:t>
            </w:r>
            <w:r w:rsidRPr="00953DDC">
              <w:rPr>
                <w:rFonts w:ascii="Garamond" w:eastAsia="Times New Roman" w:hAnsi="Garamond" w:cs="Times New Roman"/>
                <w:color w:val="000000"/>
                <w:lang w:eastAsia="it-IT"/>
              </w:rPr>
              <w:lastRenderedPageBreak/>
              <w:t xml:space="preserve">autorizzazione motivata dell'organo di vertice amministrativo? </w:t>
            </w:r>
          </w:p>
          <w:p w14:paraId="2B4ADCFD" w14:textId="689E84DD" w:rsidR="000C55EC" w:rsidRPr="00A21198" w:rsidRDefault="000C55EC" w:rsidP="00484691">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29" w:type="pct"/>
            <w:shd w:val="clear" w:color="auto" w:fill="auto"/>
            <w:vAlign w:val="center"/>
          </w:tcPr>
          <w:p w14:paraId="720C8D0E"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68C464C"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E71C753"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DF87C57"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20C6F07F"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399" w:type="pct"/>
          </w:tcPr>
          <w:p w14:paraId="798E1E36" w14:textId="77777777" w:rsidR="000C55EC" w:rsidRPr="00023F3C"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0B04F847" w14:textId="545FC825" w:rsidR="000C55EC" w:rsidRPr="00023F3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E52649" w:rsidRPr="00023F3C" w14:paraId="19FC1EB9" w14:textId="54D2E4DC" w:rsidTr="009B30BC">
        <w:trPr>
          <w:trHeight w:val="978"/>
        </w:trPr>
        <w:tc>
          <w:tcPr>
            <w:tcW w:w="310" w:type="pct"/>
            <w:shd w:val="clear" w:color="auto" w:fill="auto"/>
            <w:vAlign w:val="center"/>
          </w:tcPr>
          <w:p w14:paraId="07A72021" w14:textId="5575BC00" w:rsidR="00E52649" w:rsidRPr="00023F3C" w:rsidRDefault="00E52649" w:rsidP="00E5264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64" w:type="pct"/>
            <w:shd w:val="clear" w:color="auto" w:fill="auto"/>
            <w:vAlign w:val="center"/>
          </w:tcPr>
          <w:p w14:paraId="31883B33" w14:textId="08E8CC2E" w:rsidR="00E52649" w:rsidRPr="00023F3C" w:rsidRDefault="00E52649" w:rsidP="00E5264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1459E4">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è in </w:t>
            </w:r>
            <w:r w:rsidRPr="00E67A15">
              <w:rPr>
                <w:rFonts w:ascii="Garamond" w:eastAsia="Times New Roman" w:hAnsi="Garamond" w:cs="Times New Roman"/>
                <w:lang w:eastAsia="it-IT"/>
              </w:rPr>
              <w:t>possesso della qualificazione prevista dall'art. 62 e dall’</w:t>
            </w:r>
            <w:r>
              <w:rPr>
                <w:rFonts w:ascii="Garamond" w:eastAsia="Times New Roman" w:hAnsi="Garamond" w:cs="Times New Roman"/>
                <w:lang w:eastAsia="it-IT"/>
              </w:rPr>
              <w:t>A</w:t>
            </w:r>
            <w:r w:rsidRPr="00E67A15">
              <w:rPr>
                <w:rFonts w:ascii="Garamond" w:eastAsia="Times New Roman" w:hAnsi="Garamond" w:cs="Times New Roman"/>
                <w:lang w:eastAsia="it-IT"/>
              </w:rPr>
              <w:t xml:space="preserve">llegato II.4 del </w:t>
            </w:r>
            <w:r>
              <w:rPr>
                <w:rFonts w:ascii="Garamond" w:eastAsia="Times New Roman" w:hAnsi="Garamond" w:cs="Times New Roman"/>
                <w:lang w:eastAsia="it-IT"/>
              </w:rPr>
              <w:t>D</w:t>
            </w:r>
            <w:r w:rsidRPr="00E67A15">
              <w:rPr>
                <w:rFonts w:ascii="Garamond" w:eastAsia="Times New Roman" w:hAnsi="Garamond" w:cs="Times New Roman"/>
                <w:lang w:eastAsia="it-IT"/>
              </w:rPr>
              <w:t>.</w:t>
            </w:r>
            <w:r>
              <w:rPr>
                <w:rFonts w:ascii="Garamond" w:eastAsia="Times New Roman" w:hAnsi="Garamond" w:cs="Times New Roman"/>
                <w:lang w:eastAsia="it-IT"/>
              </w:rPr>
              <w:t xml:space="preserve"> L</w:t>
            </w:r>
            <w:r w:rsidRPr="00E67A15">
              <w:rPr>
                <w:rFonts w:ascii="Garamond" w:eastAsia="Times New Roman" w:hAnsi="Garamond" w:cs="Times New Roman"/>
                <w:lang w:eastAsia="it-IT"/>
              </w:rPr>
              <w:t xml:space="preserve">gs. 36/2023 e ha rispettato quanto disposto dall'art. 63 del </w:t>
            </w:r>
            <w:r>
              <w:rPr>
                <w:rFonts w:ascii="Garamond" w:eastAsia="Times New Roman" w:hAnsi="Garamond" w:cs="Times New Roman"/>
                <w:lang w:eastAsia="it-IT"/>
              </w:rPr>
              <w:t>D</w:t>
            </w:r>
            <w:r w:rsidRPr="00E67A15">
              <w:rPr>
                <w:rFonts w:ascii="Garamond" w:eastAsia="Times New Roman" w:hAnsi="Garamond" w:cs="Times New Roman"/>
                <w:lang w:eastAsia="it-IT"/>
              </w:rPr>
              <w:t>.</w:t>
            </w:r>
            <w:r>
              <w:rPr>
                <w:rFonts w:ascii="Garamond" w:eastAsia="Times New Roman" w:hAnsi="Garamond" w:cs="Times New Roman"/>
                <w:lang w:eastAsia="it-IT"/>
              </w:rPr>
              <w:t xml:space="preserve"> L</w:t>
            </w:r>
            <w:r w:rsidRPr="00E67A15">
              <w:rPr>
                <w:rFonts w:ascii="Garamond" w:eastAsia="Times New Roman" w:hAnsi="Garamond" w:cs="Times New Roman"/>
                <w:lang w:eastAsia="it-IT"/>
              </w:rPr>
              <w:t xml:space="preserve">gs. 36/2023 per l’affidamento </w:t>
            </w:r>
            <w:r w:rsidRPr="00E54FDA">
              <w:rPr>
                <w:rFonts w:ascii="Garamond" w:eastAsia="Times New Roman" w:hAnsi="Garamond" w:cs="Times New Roman"/>
                <w:color w:val="000000"/>
                <w:lang w:eastAsia="it-IT"/>
              </w:rPr>
              <w:t>di forniture e servizi di importo superiore alla soglia comunitaria?</w:t>
            </w:r>
          </w:p>
        </w:tc>
        <w:tc>
          <w:tcPr>
            <w:tcW w:w="129" w:type="pct"/>
            <w:shd w:val="clear" w:color="auto" w:fill="auto"/>
            <w:vAlign w:val="center"/>
          </w:tcPr>
          <w:p w14:paraId="5253E99F" w14:textId="77777777" w:rsidR="00E52649" w:rsidRPr="00023F3C" w:rsidRDefault="00E52649" w:rsidP="00E526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8364749" w14:textId="77777777" w:rsidR="00E52649" w:rsidRPr="00023F3C" w:rsidRDefault="00E52649" w:rsidP="00E52649">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559A325" w14:textId="77777777" w:rsidR="00E52649" w:rsidRPr="00023F3C" w:rsidRDefault="00E52649" w:rsidP="00E526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AD4A45F" w14:textId="77777777" w:rsidR="00E52649" w:rsidRPr="00023F3C" w:rsidRDefault="00E52649" w:rsidP="00E52649">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AB2B9DC" w14:textId="39B80AC5" w:rsidR="00E52649" w:rsidRPr="006B0057" w:rsidRDefault="00E52649" w:rsidP="00105AC6">
            <w:pPr>
              <w:spacing w:after="0" w:line="240" w:lineRule="auto"/>
              <w:jc w:val="both"/>
              <w:rPr>
                <w:rFonts w:ascii="Garamond" w:eastAsia="Times New Roman" w:hAnsi="Garamond" w:cs="Times New Roman"/>
                <w:color w:val="000000"/>
                <w:lang w:eastAsia="it-IT"/>
              </w:rPr>
            </w:pPr>
          </w:p>
        </w:tc>
        <w:tc>
          <w:tcPr>
            <w:tcW w:w="399" w:type="pct"/>
          </w:tcPr>
          <w:p w14:paraId="6BA33FDF" w14:textId="77777777" w:rsidR="00E52649" w:rsidRPr="00023F3C" w:rsidRDefault="00E52649" w:rsidP="00E52649">
            <w:pPr>
              <w:spacing w:after="0" w:line="240" w:lineRule="auto"/>
              <w:jc w:val="both"/>
              <w:rPr>
                <w:rFonts w:ascii="Garamond" w:eastAsia="Times New Roman" w:hAnsi="Garamond" w:cs="Times New Roman"/>
                <w:color w:val="000000"/>
                <w:lang w:eastAsia="it-IT"/>
              </w:rPr>
            </w:pPr>
          </w:p>
        </w:tc>
        <w:tc>
          <w:tcPr>
            <w:tcW w:w="1150" w:type="pct"/>
            <w:vAlign w:val="center"/>
          </w:tcPr>
          <w:p w14:paraId="359115BF" w14:textId="0C9D21D4" w:rsidR="00E52649" w:rsidRPr="00023F3C" w:rsidRDefault="00E52649" w:rsidP="00E52649">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3E0DAC" w:rsidRPr="00023F3C" w14:paraId="1B1424C4" w14:textId="77777777" w:rsidTr="009B30BC">
        <w:trPr>
          <w:trHeight w:val="541"/>
        </w:trPr>
        <w:tc>
          <w:tcPr>
            <w:tcW w:w="310" w:type="pct"/>
            <w:shd w:val="clear" w:color="auto" w:fill="auto"/>
            <w:vAlign w:val="center"/>
          </w:tcPr>
          <w:p w14:paraId="78336CFB" w14:textId="2139100C" w:rsidR="003E0DAC" w:rsidRDefault="003E0DAC" w:rsidP="003E0DA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0D77389B" w14:textId="6D8AAB8F" w:rsidR="003E0DAC" w:rsidRPr="00004E80" w:rsidRDefault="003E0DAC" w:rsidP="003E0DAC">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w:t>
            </w:r>
            <w:r w:rsidR="001459E4">
              <w:rPr>
                <w:rFonts w:ascii="Garamond" w:eastAsia="Times New Roman" w:hAnsi="Garamond" w:cs="Times New Roman"/>
                <w:color w:val="000000"/>
                <w:lang w:eastAsia="it-IT"/>
              </w:rPr>
              <w:t>Stazione Appaltante</w:t>
            </w:r>
            <w:r w:rsidRPr="00004E80">
              <w:rPr>
                <w:rFonts w:ascii="Garamond" w:eastAsia="Times New Roman" w:hAnsi="Garamond" w:cs="Times New Roman"/>
                <w:color w:val="000000"/>
                <w:lang w:eastAsia="it-IT"/>
              </w:rPr>
              <w:t xml:space="preserve"> non </w:t>
            </w:r>
            <w:r>
              <w:rPr>
                <w:rFonts w:ascii="Garamond" w:eastAsia="Times New Roman" w:hAnsi="Garamond" w:cs="Times New Roman"/>
                <w:color w:val="000000"/>
                <w:lang w:eastAsia="it-IT"/>
              </w:rPr>
              <w:t>sia</w:t>
            </w:r>
            <w:r w:rsidRPr="00004E80">
              <w:rPr>
                <w:rFonts w:ascii="Garamond" w:eastAsia="Times New Roman" w:hAnsi="Garamond" w:cs="Times New Roman"/>
                <w:color w:val="000000"/>
                <w:lang w:eastAsia="it-IT"/>
              </w:rPr>
              <w:t xml:space="preserve"> qualificata, ha proceduto all'</w:t>
            </w:r>
            <w:r>
              <w:rPr>
                <w:rFonts w:ascii="Garamond" w:eastAsia="Times New Roman" w:hAnsi="Garamond" w:cs="Times New Roman"/>
                <w:color w:val="000000"/>
                <w:lang w:eastAsia="it-IT"/>
              </w:rPr>
              <w:t>acquisto</w:t>
            </w:r>
            <w:r w:rsidRPr="00004E80">
              <w:rPr>
                <w:rFonts w:ascii="Garamond" w:eastAsia="Times New Roman" w:hAnsi="Garamond" w:cs="Times New Roman"/>
                <w:color w:val="000000"/>
                <w:lang w:eastAsia="it-IT"/>
              </w:rPr>
              <w:t xml:space="preserve"> 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D</w:t>
            </w:r>
            <w:r w:rsidRPr="00004E8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004E8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31C358AB" w14:textId="1C9C4BF0"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 xml:space="preserve">ricorrendo ad una Centrale di committenza qualificata; </w:t>
            </w:r>
          </w:p>
          <w:p w14:paraId="2E2D611A" w14:textId="53DB0922"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ricorrendo, per attività di committenza ausiliaria a centrali di committenza qualificate e a stazioni appaltanti qualificate;</w:t>
            </w:r>
          </w:p>
          <w:p w14:paraId="1DF2F924" w14:textId="1BE1193A"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 xml:space="preserve">effettuando ordini su strumenti di acquisto messi a disposizione dalle centrali di committenza qualificate e dai soggetti aggregatori, con preliminare preferenza per il territorio regionale di riferimento. (Se il bene </w:t>
            </w:r>
            <w:r w:rsidRPr="005C47B3">
              <w:rPr>
                <w:rFonts w:ascii="Garamond" w:eastAsia="Times New Roman" w:hAnsi="Garamond" w:cs="Times New Roman"/>
                <w:color w:val="000000"/>
                <w:lang w:eastAsia="it-IT"/>
              </w:rPr>
              <w:lastRenderedPageBreak/>
              <w:t xml:space="preserve">o il servizio non è disponibile o idoneo al soddisfacimento dello specifico fabbisogno della </w:t>
            </w:r>
            <w:r w:rsidR="001459E4" w:rsidRPr="005C47B3">
              <w:rPr>
                <w:rFonts w:ascii="Garamond" w:eastAsia="Times New Roman" w:hAnsi="Garamond" w:cs="Times New Roman"/>
                <w:color w:val="000000"/>
                <w:lang w:eastAsia="it-IT"/>
              </w:rPr>
              <w:t>Stazione Appaltante</w:t>
            </w:r>
            <w:r w:rsidRPr="005C47B3">
              <w:rPr>
                <w:rFonts w:ascii="Garamond" w:eastAsia="Times New Roman" w:hAnsi="Garamond" w:cs="Times New Roman"/>
                <w:color w:val="000000"/>
                <w:lang w:eastAsia="it-IT"/>
              </w:rPr>
              <w:t xml:space="preserve">, oppure per ragioni di convenienza economica, la </w:t>
            </w:r>
            <w:r w:rsidR="001459E4" w:rsidRPr="005C47B3">
              <w:rPr>
                <w:rFonts w:ascii="Garamond" w:eastAsia="Times New Roman" w:hAnsi="Garamond" w:cs="Times New Roman"/>
                <w:color w:val="000000"/>
                <w:lang w:eastAsia="it-IT"/>
              </w:rPr>
              <w:t>Stazione Appaltante</w:t>
            </w:r>
            <w:r w:rsidRPr="005C47B3">
              <w:rPr>
                <w:rFonts w:ascii="Garamond" w:eastAsia="Times New Roman" w:hAnsi="Garamond" w:cs="Times New Roman"/>
                <w:color w:val="000000"/>
                <w:lang w:eastAsia="it-IT"/>
              </w:rPr>
              <w:t xml:space="preserve"> può agire, previa motivazione, senza limiti territoriali);</w:t>
            </w:r>
          </w:p>
          <w:p w14:paraId="0D4C93A0" w14:textId="1862B056"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eseguendo i contratti per i quali sono qualificate per l’esecuzione;</w:t>
            </w:r>
          </w:p>
          <w:p w14:paraId="4DC827C8" w14:textId="3F3C266E"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eseguendo i contratti affidati ai sensi della lettera b);</w:t>
            </w:r>
          </w:p>
          <w:p w14:paraId="02ACECFB" w14:textId="7FD29F50" w:rsidR="003E0DAC" w:rsidRPr="005C47B3" w:rsidRDefault="003E0DAC" w:rsidP="005C47B3">
            <w:pPr>
              <w:pStyle w:val="ListParagraph"/>
              <w:numPr>
                <w:ilvl w:val="0"/>
                <w:numId w:val="29"/>
              </w:numPr>
              <w:spacing w:after="0" w:line="240" w:lineRule="auto"/>
              <w:jc w:val="both"/>
              <w:rPr>
                <w:rFonts w:ascii="Garamond" w:eastAsia="Times New Roman" w:hAnsi="Garamond" w:cs="Times New Roman"/>
                <w:color w:val="000000"/>
                <w:lang w:eastAsia="it-IT"/>
              </w:rPr>
            </w:pPr>
            <w:r w:rsidRPr="005C47B3">
              <w:rPr>
                <w:rFonts w:ascii="Garamond" w:eastAsia="Times New Roman" w:hAnsi="Garamond" w:cs="Times New Roman"/>
                <w:color w:val="000000"/>
                <w:lang w:eastAsia="it-IT"/>
              </w:rPr>
              <w:t xml:space="preserve">qualora non siano qualificate per l’esecuzione, ricorrendo a una </w:t>
            </w:r>
            <w:r w:rsidR="001459E4" w:rsidRPr="005C47B3">
              <w:rPr>
                <w:rFonts w:ascii="Garamond" w:eastAsia="Times New Roman" w:hAnsi="Garamond" w:cs="Times New Roman"/>
                <w:color w:val="000000"/>
                <w:lang w:eastAsia="it-IT"/>
              </w:rPr>
              <w:t>Stazione Appaltante</w:t>
            </w:r>
            <w:r w:rsidRPr="005C47B3">
              <w:rPr>
                <w:rFonts w:ascii="Garamond" w:eastAsia="Times New Roman" w:hAnsi="Garamond" w:cs="Times New Roman"/>
                <w:color w:val="000000"/>
                <w:lang w:eastAsia="it-IT"/>
              </w:rPr>
              <w:t xml:space="preserve"> qualificata, a una centrale di committenza qualificata o a soggetti aggregatori.</w:t>
            </w:r>
          </w:p>
        </w:tc>
        <w:tc>
          <w:tcPr>
            <w:tcW w:w="129" w:type="pct"/>
            <w:shd w:val="clear" w:color="auto" w:fill="auto"/>
            <w:vAlign w:val="center"/>
          </w:tcPr>
          <w:p w14:paraId="3F0C1161" w14:textId="77777777" w:rsidR="003E0DAC" w:rsidRPr="00023F3C" w:rsidRDefault="003E0DAC" w:rsidP="003E0DAC">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D0398EC" w14:textId="77777777" w:rsidR="003E0DAC" w:rsidRPr="00023F3C" w:rsidRDefault="003E0DAC" w:rsidP="003E0DAC">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E0E68AF" w14:textId="77777777" w:rsidR="003E0DAC" w:rsidRPr="00023F3C" w:rsidRDefault="003E0DAC" w:rsidP="003E0DAC">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9D2B7F9" w14:textId="77777777" w:rsidR="003E0DAC" w:rsidRPr="00023F3C" w:rsidRDefault="003E0DAC" w:rsidP="003E0DAC">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13E8A05B" w14:textId="426FF415" w:rsidR="003E0DAC" w:rsidRPr="00C93141" w:rsidRDefault="00C93141" w:rsidP="005B58A0">
            <w:pPr>
              <w:spacing w:after="0" w:line="240" w:lineRule="auto"/>
              <w:jc w:val="both"/>
              <w:rPr>
                <w:rFonts w:ascii="Garamond" w:eastAsia="Times New Roman" w:hAnsi="Garamond" w:cs="Times New Roman"/>
                <w:color w:val="2F5496" w:themeColor="accent1" w:themeShade="BF"/>
                <w:lang w:eastAsia="it-IT"/>
              </w:rPr>
            </w:pPr>
            <w:r w:rsidRPr="00C93141">
              <w:rPr>
                <w:rFonts w:ascii="Garamond" w:eastAsia="Times New Roman" w:hAnsi="Garamond" w:cs="Times New Roman"/>
                <w:color w:val="2F5496" w:themeColor="accent1" w:themeShade="BF"/>
                <w:lang w:eastAsia="it-IT"/>
              </w:rPr>
              <w:t>N.B. A partire dal 31 gennaio 2024, le stazioni appaltanti non qualificate possono procedere all’acquisizione di lavori anche ricorrendo ad una stazione appaltante qualificata.</w:t>
            </w:r>
          </w:p>
        </w:tc>
        <w:tc>
          <w:tcPr>
            <w:tcW w:w="399" w:type="pct"/>
          </w:tcPr>
          <w:p w14:paraId="053656FC" w14:textId="77777777" w:rsidR="003E0DAC" w:rsidRPr="00023F3C" w:rsidRDefault="003E0DAC" w:rsidP="003E0DAC">
            <w:pPr>
              <w:spacing w:after="0" w:line="240" w:lineRule="auto"/>
              <w:jc w:val="both"/>
              <w:rPr>
                <w:rFonts w:ascii="Garamond" w:eastAsia="Times New Roman" w:hAnsi="Garamond" w:cs="Times New Roman"/>
                <w:color w:val="000000"/>
                <w:lang w:eastAsia="it-IT"/>
              </w:rPr>
            </w:pPr>
          </w:p>
        </w:tc>
        <w:tc>
          <w:tcPr>
            <w:tcW w:w="1150" w:type="pct"/>
            <w:vAlign w:val="center"/>
          </w:tcPr>
          <w:p w14:paraId="2A6C2685" w14:textId="77777777" w:rsidR="003E0DAC" w:rsidRPr="00153B5F" w:rsidRDefault="003E0DAC" w:rsidP="003E0DA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53B5F">
              <w:rPr>
                <w:rFonts w:ascii="Garamond" w:eastAsia="Times New Roman" w:hAnsi="Garamond" w:cs="Times New Roman"/>
                <w:color w:val="000000"/>
                <w:lang w:eastAsia="it-IT"/>
              </w:rPr>
              <w:t>Decisione di contrarre o atto analogo</w:t>
            </w:r>
          </w:p>
          <w:p w14:paraId="5E5C6ED1" w14:textId="46724FCC" w:rsidR="003E0DAC" w:rsidRPr="00023F3C" w:rsidRDefault="003E0DAC" w:rsidP="003E0DAC">
            <w:pPr>
              <w:spacing w:after="0" w:line="240" w:lineRule="auto"/>
              <w:jc w:val="both"/>
              <w:rPr>
                <w:rFonts w:ascii="Garamond" w:eastAsia="Times New Roman" w:hAnsi="Garamond" w:cs="Times New Roman"/>
                <w:color w:val="000000"/>
                <w:lang w:eastAsia="it-IT"/>
              </w:rPr>
            </w:pPr>
          </w:p>
        </w:tc>
      </w:tr>
      <w:tr w:rsidR="00A00449" w:rsidRPr="00023F3C" w14:paraId="761B39E8" w14:textId="77777777" w:rsidTr="009B30BC">
        <w:trPr>
          <w:trHeight w:val="823"/>
        </w:trPr>
        <w:tc>
          <w:tcPr>
            <w:tcW w:w="310" w:type="pct"/>
            <w:shd w:val="clear" w:color="auto" w:fill="auto"/>
            <w:vAlign w:val="center"/>
          </w:tcPr>
          <w:p w14:paraId="2767C566" w14:textId="3BA86694" w:rsidR="000C55EC" w:rsidRDefault="000C55EC"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64" w:type="pct"/>
            <w:shd w:val="clear" w:color="auto" w:fill="auto"/>
            <w:vAlign w:val="center"/>
          </w:tcPr>
          <w:p w14:paraId="530CB22B" w14:textId="3CACB497" w:rsidR="000C55EC" w:rsidRPr="00023F3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1459E4">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ha nominato il Responsabile </w:t>
            </w:r>
            <w:r>
              <w:rPr>
                <w:rFonts w:ascii="Garamond" w:eastAsia="Times New Roman" w:hAnsi="Garamond" w:cs="Times New Roman"/>
                <w:color w:val="000000"/>
                <w:lang w:eastAsia="it-IT"/>
              </w:rPr>
              <w:t>Unico di Progetto</w:t>
            </w:r>
            <w:r w:rsidR="003E0DAC">
              <w:rPr>
                <w:rFonts w:ascii="Garamond" w:eastAsia="Times New Roman" w:hAnsi="Garamond" w:cs="Times New Roman"/>
                <w:color w:val="000000"/>
                <w:lang w:eastAsia="it-IT"/>
              </w:rPr>
              <w:t>(“RUP”),</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D.</w:t>
            </w:r>
            <w:r w:rsidR="003E0DAC">
              <w:rPr>
                <w:rFonts w:ascii="Garamond" w:eastAsia="Times New Roman" w:hAnsi="Garamond" w:cs="Times New Roman"/>
                <w:color w:val="000000"/>
                <w:lang w:eastAsia="it-IT"/>
              </w:rPr>
              <w:t xml:space="preserve"> L</w:t>
            </w:r>
            <w:r w:rsidRPr="00023F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29" w:type="pct"/>
            <w:shd w:val="clear" w:color="auto" w:fill="auto"/>
            <w:vAlign w:val="center"/>
          </w:tcPr>
          <w:p w14:paraId="291C0CD7"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255931"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7DB7269"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8C0F62B" w14:textId="77777777" w:rsidR="000C55EC" w:rsidRPr="002741C7" w:rsidRDefault="000C55EC" w:rsidP="00484691">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7DB0A928"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399" w:type="pct"/>
          </w:tcPr>
          <w:p w14:paraId="6A3E8B5A" w14:textId="77777777" w:rsidR="000C55EC" w:rsidRPr="00023F3C"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7696111B" w14:textId="6CF0BAE3" w:rsidR="000C55EC" w:rsidRPr="00023F3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tc>
      </w:tr>
      <w:tr w:rsidR="000C0424" w:rsidRPr="00023F3C" w14:paraId="25A87A3E" w14:textId="77777777" w:rsidTr="009B30BC">
        <w:trPr>
          <w:trHeight w:val="823"/>
        </w:trPr>
        <w:tc>
          <w:tcPr>
            <w:tcW w:w="310" w:type="pct"/>
            <w:shd w:val="clear" w:color="auto" w:fill="auto"/>
            <w:vAlign w:val="center"/>
          </w:tcPr>
          <w:p w14:paraId="61BFA21E" w14:textId="3D099EA9" w:rsidR="000C0424" w:rsidRPr="002A5289" w:rsidRDefault="00CD3DF9" w:rsidP="000C04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64" w:type="pct"/>
            <w:shd w:val="clear" w:color="auto" w:fill="auto"/>
            <w:vAlign w:val="center"/>
          </w:tcPr>
          <w:p w14:paraId="0FBB3B48" w14:textId="4E757BC5" w:rsidR="000C0424" w:rsidRPr="002A5289" w:rsidRDefault="000C0424" w:rsidP="000C0424">
            <w:pPr>
              <w:spacing w:after="0" w:line="240" w:lineRule="auto"/>
              <w:jc w:val="both"/>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verificato che il RUP abbia i requisiti previsti dall’art. 4 dell’Allegato I.2. al D. Lgs. 36/2023?</w:t>
            </w:r>
          </w:p>
        </w:tc>
        <w:tc>
          <w:tcPr>
            <w:tcW w:w="129" w:type="pct"/>
            <w:shd w:val="clear" w:color="auto" w:fill="auto"/>
            <w:vAlign w:val="center"/>
          </w:tcPr>
          <w:p w14:paraId="1CDDFF97" w14:textId="77777777" w:rsidR="000C0424" w:rsidRPr="00023F3C" w:rsidRDefault="000C0424" w:rsidP="000C0424">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BA313CF" w14:textId="77777777" w:rsidR="000C0424" w:rsidRPr="00023F3C" w:rsidRDefault="000C0424" w:rsidP="000C0424">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A3B9869" w14:textId="77777777" w:rsidR="000C0424" w:rsidRPr="00023F3C" w:rsidRDefault="000C0424" w:rsidP="000C0424">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B52AE11" w14:textId="77777777" w:rsidR="000C0424" w:rsidRPr="002741C7" w:rsidRDefault="000C0424" w:rsidP="000C0424">
            <w:pPr>
              <w:spacing w:after="0" w:line="240" w:lineRule="auto"/>
              <w:jc w:val="both"/>
              <w:rPr>
                <w:rFonts w:ascii="Garamond" w:eastAsia="Times New Roman" w:hAnsi="Garamond" w:cs="Times New Roman"/>
                <w:color w:val="000000"/>
                <w:lang w:eastAsia="it-IT"/>
              </w:rPr>
            </w:pPr>
          </w:p>
        </w:tc>
        <w:tc>
          <w:tcPr>
            <w:tcW w:w="619" w:type="pct"/>
            <w:shd w:val="clear" w:color="auto" w:fill="auto"/>
          </w:tcPr>
          <w:p w14:paraId="1DEC8550" w14:textId="77777777" w:rsidR="000C0424" w:rsidRPr="00023F3C" w:rsidRDefault="000C0424" w:rsidP="000C0424">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5C31E50" w14:textId="77777777" w:rsidR="000C0424" w:rsidRPr="00023F3C" w:rsidRDefault="000C0424" w:rsidP="000C0424">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C1A19B9" w14:textId="77777777" w:rsidR="000C0424" w:rsidRDefault="000C0424" w:rsidP="000C0424">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Atto di nomina del RUP</w:t>
            </w:r>
          </w:p>
          <w:p w14:paraId="796EAB24" w14:textId="605989EC" w:rsidR="000C0424" w:rsidRPr="002A5289" w:rsidRDefault="000C0424" w:rsidP="000C0424">
            <w:pPr>
              <w:spacing w:after="0" w:line="240" w:lineRule="auto"/>
              <w:jc w:val="both"/>
              <w:rPr>
                <w:rFonts w:ascii="Garamond" w:eastAsia="Times New Roman" w:hAnsi="Garamond" w:cs="Times New Roman"/>
                <w:color w:val="000000"/>
                <w:lang w:eastAsia="it-IT"/>
              </w:rPr>
            </w:pPr>
            <w:r w:rsidRPr="00D83D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Decisione di contrarre</w:t>
            </w:r>
          </w:p>
        </w:tc>
      </w:tr>
      <w:tr w:rsidR="004C738E" w:rsidRPr="00023F3C" w14:paraId="2C7DE4B9" w14:textId="77777777" w:rsidTr="009B30BC">
        <w:trPr>
          <w:trHeight w:val="823"/>
        </w:trPr>
        <w:tc>
          <w:tcPr>
            <w:tcW w:w="310" w:type="pct"/>
            <w:shd w:val="clear" w:color="auto" w:fill="auto"/>
            <w:vAlign w:val="center"/>
          </w:tcPr>
          <w:p w14:paraId="0D89784A" w14:textId="099344F5" w:rsidR="004C738E" w:rsidRDefault="00CD3DF9" w:rsidP="004C738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64" w:type="pct"/>
            <w:shd w:val="clear" w:color="auto" w:fill="auto"/>
            <w:vAlign w:val="center"/>
          </w:tcPr>
          <w:p w14:paraId="6DD85DDC" w14:textId="02D08A3C" w:rsidR="004C738E" w:rsidRPr="00023F3C" w:rsidRDefault="004C738E" w:rsidP="004C738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È stato verificato che il RUP non si trovi nelle condizioni di conflitto di interesse di cui all'art. 16 del D. Lgs. 36/2023?</w:t>
            </w:r>
          </w:p>
        </w:tc>
        <w:tc>
          <w:tcPr>
            <w:tcW w:w="129" w:type="pct"/>
            <w:shd w:val="clear" w:color="auto" w:fill="auto"/>
            <w:vAlign w:val="center"/>
          </w:tcPr>
          <w:p w14:paraId="2095BCDB" w14:textId="77777777" w:rsidR="004C738E" w:rsidRPr="00023F3C" w:rsidRDefault="004C738E" w:rsidP="004C738E">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B7AE1D2" w14:textId="77777777" w:rsidR="004C738E" w:rsidRPr="00023F3C" w:rsidRDefault="004C738E" w:rsidP="004C738E">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435FAF9" w14:textId="77777777" w:rsidR="004C738E" w:rsidRPr="00023F3C" w:rsidRDefault="004C738E" w:rsidP="004C738E">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5E9F973" w14:textId="77777777" w:rsidR="004C738E" w:rsidRPr="002741C7" w:rsidRDefault="004C738E" w:rsidP="004C738E">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3C138632" w14:textId="1553D5F9" w:rsidR="004C738E" w:rsidRPr="00023F3C" w:rsidRDefault="004C738E" w:rsidP="004C738E">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612D453" w14:textId="77777777" w:rsidR="004C738E" w:rsidRPr="00023F3C" w:rsidRDefault="004C738E" w:rsidP="004C738E">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78C117E6" w14:textId="77777777" w:rsidR="004C738E" w:rsidRPr="002A5289" w:rsidRDefault="004C738E" w:rsidP="004C738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Atto di nomina del RUP</w:t>
            </w:r>
          </w:p>
          <w:p w14:paraId="062AA162" w14:textId="22BECB91" w:rsidR="004C738E" w:rsidRPr="00023F3C" w:rsidRDefault="004C738E" w:rsidP="004C738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Decisione di contrarre</w:t>
            </w:r>
          </w:p>
        </w:tc>
      </w:tr>
      <w:tr w:rsidR="00A00449" w:rsidRPr="00023F3C" w14:paraId="4A79AAF7" w14:textId="77777777" w:rsidTr="009B30BC">
        <w:trPr>
          <w:trHeight w:val="823"/>
        </w:trPr>
        <w:tc>
          <w:tcPr>
            <w:tcW w:w="310" w:type="pct"/>
            <w:shd w:val="clear" w:color="auto" w:fill="auto"/>
            <w:vAlign w:val="center"/>
          </w:tcPr>
          <w:p w14:paraId="05D93BAC" w14:textId="4BBFE510" w:rsidR="000C55EC" w:rsidRDefault="00CD3DF9"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464" w:type="pct"/>
            <w:shd w:val="clear" w:color="auto" w:fill="auto"/>
            <w:vAlign w:val="center"/>
          </w:tcPr>
          <w:p w14:paraId="79D2DBEB" w14:textId="27B0F37D" w:rsidR="000C55EC" w:rsidRPr="00BB06EA" w:rsidRDefault="000C55E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sia stato nominato il DEC, ricorrono le ipotesi e i presupposti stabiliti dall’art. 114, comma 8</w:t>
            </w:r>
            <w:r w:rsidR="00702E76">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D.</w:t>
            </w:r>
            <w:r w:rsidR="00203E1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Lgs</w:t>
            </w:r>
            <w:r w:rsidR="00203E16">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p>
        </w:tc>
        <w:tc>
          <w:tcPr>
            <w:tcW w:w="129" w:type="pct"/>
            <w:shd w:val="clear" w:color="auto" w:fill="auto"/>
            <w:vAlign w:val="center"/>
          </w:tcPr>
          <w:p w14:paraId="294BCD8B"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C191B0C"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A2F7520"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9AD1755" w14:textId="77777777" w:rsidR="000C55EC" w:rsidRPr="002741C7" w:rsidRDefault="000C55EC" w:rsidP="00484691">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2064CF07"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399" w:type="pct"/>
          </w:tcPr>
          <w:p w14:paraId="56FBC84F" w14:textId="77777777" w:rsidR="000C55EC" w:rsidRPr="00023F3C"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56670D64" w14:textId="6113FDC8" w:rsidR="000C55EC" w:rsidRPr="00023F3C" w:rsidRDefault="000C55EC" w:rsidP="0048469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6A62CB" w:rsidRPr="00023F3C" w14:paraId="1923A2D6" w14:textId="77777777" w:rsidTr="0012539E">
        <w:trPr>
          <w:trHeight w:val="823"/>
        </w:trPr>
        <w:tc>
          <w:tcPr>
            <w:tcW w:w="310" w:type="pct"/>
            <w:shd w:val="clear" w:color="auto" w:fill="B4C6E7" w:themeFill="accent1" w:themeFillTint="66"/>
            <w:vAlign w:val="center"/>
          </w:tcPr>
          <w:p w14:paraId="5BD9FAEA" w14:textId="0C7C9F53" w:rsidR="006A62CB" w:rsidRPr="0012539E" w:rsidRDefault="0012539E" w:rsidP="00B42453">
            <w:pPr>
              <w:spacing w:after="0" w:line="240" w:lineRule="auto"/>
              <w:jc w:val="center"/>
              <w:rPr>
                <w:rFonts w:ascii="Garamond" w:eastAsia="Times New Roman" w:hAnsi="Garamond" w:cs="Times New Roman"/>
                <w:b/>
                <w:bCs/>
                <w:color w:val="000000"/>
                <w:lang w:eastAsia="it-IT"/>
              </w:rPr>
            </w:pPr>
            <w:r w:rsidRPr="0012539E">
              <w:rPr>
                <w:rFonts w:ascii="Garamond" w:eastAsia="Times New Roman" w:hAnsi="Garamond" w:cs="Times New Roman"/>
                <w:b/>
                <w:bCs/>
                <w:color w:val="000000"/>
                <w:lang w:eastAsia="it-IT"/>
              </w:rPr>
              <w:t>B</w:t>
            </w:r>
          </w:p>
        </w:tc>
        <w:tc>
          <w:tcPr>
            <w:tcW w:w="4690" w:type="pct"/>
            <w:gridSpan w:val="8"/>
            <w:shd w:val="clear" w:color="auto" w:fill="B4C6E7" w:themeFill="accent1" w:themeFillTint="66"/>
            <w:vAlign w:val="center"/>
          </w:tcPr>
          <w:p w14:paraId="2E4145E8" w14:textId="45936DD9" w:rsidR="006A62CB" w:rsidRPr="0012539E" w:rsidRDefault="00A639D4" w:rsidP="006A62CB">
            <w:pPr>
              <w:spacing w:after="0" w:line="240" w:lineRule="auto"/>
              <w:jc w:val="center"/>
              <w:rPr>
                <w:rFonts w:ascii="Garamond" w:eastAsia="Times New Roman" w:hAnsi="Garamond" w:cs="Times New Roman"/>
                <w:b/>
                <w:bCs/>
                <w:color w:val="000000"/>
                <w:lang w:eastAsia="it-IT"/>
              </w:rPr>
            </w:pPr>
            <w:r w:rsidRPr="0012539E">
              <w:rPr>
                <w:rFonts w:ascii="Garamond" w:eastAsia="Times New Roman" w:hAnsi="Garamond" w:cs="Times New Roman"/>
                <w:b/>
                <w:bCs/>
                <w:color w:val="000000"/>
                <w:lang w:eastAsia="it-IT"/>
              </w:rPr>
              <w:t>Progettazione</w:t>
            </w:r>
          </w:p>
        </w:tc>
      </w:tr>
      <w:tr w:rsidR="00A00449" w:rsidRPr="00023F3C" w14:paraId="4B4AEE4B" w14:textId="77777777" w:rsidTr="009B30BC">
        <w:trPr>
          <w:trHeight w:val="1166"/>
        </w:trPr>
        <w:tc>
          <w:tcPr>
            <w:tcW w:w="310" w:type="pct"/>
            <w:shd w:val="clear" w:color="auto" w:fill="auto"/>
            <w:vAlign w:val="center"/>
          </w:tcPr>
          <w:p w14:paraId="7CD16D67" w14:textId="146CD0F3" w:rsidR="000C55EC" w:rsidRDefault="00B23038" w:rsidP="00B4245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095EF6CA" w14:textId="6E434709" w:rsidR="000C55EC" w:rsidRPr="00023F3C" w:rsidDel="00A21198" w:rsidRDefault="000C55EC" w:rsidP="004846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w:t>
            </w:r>
            <w:r w:rsidR="008B775D">
              <w:rPr>
                <w:rFonts w:ascii="Garamond" w:eastAsia="Times New Roman" w:hAnsi="Garamond" w:cs="Times New Roman"/>
                <w:color w:val="000000"/>
                <w:lang w:eastAsia="it-IT"/>
              </w:rPr>
              <w:t xml:space="preserve"> L</w:t>
            </w:r>
            <w:r w:rsidRPr="00A2119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29" w:type="pct"/>
            <w:shd w:val="clear" w:color="auto" w:fill="auto"/>
            <w:vAlign w:val="center"/>
          </w:tcPr>
          <w:p w14:paraId="1B2E6C4A"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EFD229B"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0257857" w14:textId="77777777" w:rsidR="000C55EC" w:rsidRPr="00023F3C" w:rsidRDefault="000C55EC" w:rsidP="004846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88667E4" w14:textId="77777777" w:rsidR="000C55EC" w:rsidRPr="00023F3C" w:rsidRDefault="000C55EC" w:rsidP="00484691">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474C57D7" w14:textId="77777777" w:rsidR="000C55EC" w:rsidRPr="00C04229" w:rsidRDefault="000C55EC" w:rsidP="00484691">
            <w:pPr>
              <w:spacing w:after="0" w:line="240" w:lineRule="auto"/>
              <w:jc w:val="both"/>
              <w:rPr>
                <w:rFonts w:ascii="Garamond" w:eastAsia="Times New Roman" w:hAnsi="Garamond" w:cs="Times New Roman"/>
                <w:color w:val="000000"/>
                <w:lang w:eastAsia="it-IT"/>
              </w:rPr>
            </w:pPr>
          </w:p>
        </w:tc>
        <w:tc>
          <w:tcPr>
            <w:tcW w:w="399" w:type="pct"/>
          </w:tcPr>
          <w:p w14:paraId="7118567B" w14:textId="77777777" w:rsidR="000C55EC" w:rsidRPr="00A21198" w:rsidRDefault="000C55EC" w:rsidP="00484691">
            <w:pPr>
              <w:spacing w:after="0" w:line="240" w:lineRule="auto"/>
              <w:jc w:val="both"/>
              <w:rPr>
                <w:rFonts w:ascii="Garamond" w:eastAsia="Times New Roman" w:hAnsi="Garamond" w:cs="Times New Roman"/>
                <w:color w:val="000000"/>
                <w:lang w:eastAsia="it-IT"/>
              </w:rPr>
            </w:pPr>
          </w:p>
        </w:tc>
        <w:tc>
          <w:tcPr>
            <w:tcW w:w="1150" w:type="pct"/>
            <w:vAlign w:val="center"/>
          </w:tcPr>
          <w:p w14:paraId="670E6175" w14:textId="323B1DD6" w:rsidR="000C55EC" w:rsidRPr="00A21198" w:rsidRDefault="000C55EC"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63598DCE" w14:textId="77F7AC92" w:rsidR="000C55EC" w:rsidRPr="00A21198" w:rsidRDefault="000C55EC"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0C55EC" w:rsidDel="00A21198" w:rsidRDefault="000C55EC" w:rsidP="0048469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700BC6" w:rsidRPr="00023F3C" w14:paraId="5EB9E627" w14:textId="77777777" w:rsidTr="009B30BC">
        <w:trPr>
          <w:trHeight w:val="1417"/>
        </w:trPr>
        <w:tc>
          <w:tcPr>
            <w:tcW w:w="310" w:type="pct"/>
            <w:shd w:val="clear" w:color="auto" w:fill="auto"/>
            <w:vAlign w:val="center"/>
          </w:tcPr>
          <w:p w14:paraId="14A48200" w14:textId="6468A174" w:rsidR="00700BC6" w:rsidRDefault="00B23038" w:rsidP="00700BC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061BE9CF" w14:textId="5416B44E" w:rsidR="00700BC6" w:rsidRPr="00A21198" w:rsidRDefault="00700BC6" w:rsidP="00700B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29" w:type="pct"/>
            <w:shd w:val="clear" w:color="auto" w:fill="auto"/>
            <w:vAlign w:val="center"/>
          </w:tcPr>
          <w:p w14:paraId="77E55953"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A0CF05"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832D50D"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1240C37" w14:textId="77777777" w:rsidR="00700BC6" w:rsidRPr="00023F3C" w:rsidRDefault="00700BC6" w:rsidP="00700BC6">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0EF5988A" w14:textId="15C1E226" w:rsidR="00700BC6" w:rsidRPr="00C04229" w:rsidRDefault="00700BC6" w:rsidP="00700BC6">
            <w:pPr>
              <w:spacing w:after="0" w:line="240" w:lineRule="auto"/>
              <w:jc w:val="both"/>
              <w:rPr>
                <w:rFonts w:ascii="Garamond" w:eastAsia="Times New Roman" w:hAnsi="Garamond" w:cs="Times New Roman"/>
                <w:color w:val="000000"/>
                <w:lang w:eastAsia="it-IT"/>
              </w:rPr>
            </w:pPr>
          </w:p>
        </w:tc>
        <w:tc>
          <w:tcPr>
            <w:tcW w:w="399" w:type="pct"/>
          </w:tcPr>
          <w:p w14:paraId="534784F9"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7EE991AA" w14:textId="23DC3E1C"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511971D8" w14:textId="77777777"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CC0ADFB" w:rsidR="00700BC6" w:rsidRPr="00A21198" w:rsidRDefault="00700BC6" w:rsidP="00700BC6">
            <w:pPr>
              <w:spacing w:after="0" w:line="240" w:lineRule="auto"/>
              <w:jc w:val="both"/>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700BC6" w:rsidRPr="00023F3C" w14:paraId="0D948F1D" w14:textId="77777777" w:rsidTr="00106A1A">
        <w:trPr>
          <w:trHeight w:val="882"/>
        </w:trPr>
        <w:tc>
          <w:tcPr>
            <w:tcW w:w="310" w:type="pct"/>
            <w:shd w:val="clear" w:color="auto" w:fill="B4C6E7" w:themeFill="accent1" w:themeFillTint="66"/>
            <w:vAlign w:val="center"/>
          </w:tcPr>
          <w:p w14:paraId="793B5BF9" w14:textId="27A04ADC" w:rsidR="00700BC6" w:rsidRPr="00700BC6" w:rsidRDefault="00700BC6" w:rsidP="00700BC6">
            <w:pPr>
              <w:spacing w:after="0" w:line="240" w:lineRule="auto"/>
              <w:jc w:val="center"/>
              <w:rPr>
                <w:rFonts w:ascii="Garamond" w:eastAsia="Times New Roman" w:hAnsi="Garamond" w:cs="Times New Roman"/>
                <w:b/>
                <w:bCs/>
                <w:color w:val="000000"/>
                <w:lang w:eastAsia="it-IT"/>
              </w:rPr>
            </w:pPr>
            <w:r w:rsidRPr="00700BC6">
              <w:rPr>
                <w:rFonts w:ascii="Garamond" w:eastAsia="Times New Roman" w:hAnsi="Garamond" w:cs="Times New Roman"/>
                <w:b/>
                <w:bCs/>
                <w:color w:val="000000"/>
                <w:lang w:eastAsia="it-IT"/>
              </w:rPr>
              <w:t>C</w:t>
            </w:r>
          </w:p>
        </w:tc>
        <w:tc>
          <w:tcPr>
            <w:tcW w:w="4690" w:type="pct"/>
            <w:gridSpan w:val="8"/>
            <w:shd w:val="clear" w:color="auto" w:fill="B4C6E7" w:themeFill="accent1" w:themeFillTint="66"/>
            <w:vAlign w:val="center"/>
          </w:tcPr>
          <w:p w14:paraId="77CCF9B5" w14:textId="671317EF" w:rsidR="00700BC6" w:rsidRPr="00191356" w:rsidRDefault="00191356" w:rsidP="00700BC6">
            <w:pPr>
              <w:spacing w:after="0" w:line="240" w:lineRule="auto"/>
              <w:jc w:val="center"/>
              <w:rPr>
                <w:rFonts w:ascii="Garamond" w:eastAsia="Times New Roman" w:hAnsi="Garamond" w:cs="Times New Roman"/>
                <w:b/>
                <w:bCs/>
                <w:color w:val="000000"/>
                <w:lang w:eastAsia="it-IT"/>
              </w:rPr>
            </w:pPr>
            <w:r w:rsidRPr="00191356">
              <w:rPr>
                <w:rFonts w:ascii="Garamond" w:eastAsia="Times New Roman" w:hAnsi="Garamond" w:cs="Times New Roman"/>
                <w:b/>
                <w:bCs/>
                <w:color w:val="000000"/>
                <w:lang w:eastAsia="it-IT"/>
              </w:rPr>
              <w:t>Decisione di contrarre</w:t>
            </w:r>
          </w:p>
        </w:tc>
      </w:tr>
      <w:tr w:rsidR="00700BC6" w:rsidRPr="00023F3C" w14:paraId="7E1EEA06" w14:textId="77777777" w:rsidTr="009B30BC">
        <w:trPr>
          <w:trHeight w:val="1739"/>
        </w:trPr>
        <w:tc>
          <w:tcPr>
            <w:tcW w:w="310" w:type="pct"/>
            <w:shd w:val="clear" w:color="auto" w:fill="auto"/>
            <w:vAlign w:val="center"/>
          </w:tcPr>
          <w:p w14:paraId="7D56B715" w14:textId="70459B27" w:rsidR="00700BC6" w:rsidRPr="00023F3C" w:rsidRDefault="00B23038" w:rsidP="00B23038">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464" w:type="pct"/>
            <w:shd w:val="clear" w:color="auto" w:fill="auto"/>
            <w:vAlign w:val="center"/>
          </w:tcPr>
          <w:p w14:paraId="02BA8E07" w14:textId="77777777" w:rsidR="00700BC6" w:rsidRPr="00023F3C" w:rsidRDefault="00700BC6" w:rsidP="00700BC6">
            <w:pPr>
              <w:spacing w:after="0" w:line="240" w:lineRule="auto"/>
              <w:jc w:val="both"/>
              <w:rPr>
                <w:rFonts w:ascii="Garamond" w:eastAsia="Times New Roman" w:hAnsi="Garamond" w:cs="Times New Roman"/>
                <w:color w:val="000000"/>
                <w:lang w:eastAsia="it-IT"/>
              </w:rPr>
            </w:pPr>
          </w:p>
          <w:p w14:paraId="49E75D83" w14:textId="133B6E12" w:rsidR="00700BC6" w:rsidRPr="004874BD" w:rsidRDefault="00700BC6" w:rsidP="00700BC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191356">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 xml:space="preserve">essenziali richieste dal D.lgs. 36/2023 (art. 17 del D. </w:t>
            </w:r>
            <w:r w:rsidR="00191356">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023F3C">
              <w:rPr>
                <w:rFonts w:ascii="Garamond" w:eastAsia="Times New Roman" w:hAnsi="Garamond" w:cs="Times New Roman"/>
                <w:color w:val="000000"/>
                <w:lang w:eastAsia="it-IT"/>
              </w:rPr>
              <w:t>?</w:t>
            </w:r>
          </w:p>
        </w:tc>
        <w:tc>
          <w:tcPr>
            <w:tcW w:w="129" w:type="pct"/>
            <w:shd w:val="clear" w:color="auto" w:fill="auto"/>
            <w:vAlign w:val="center"/>
          </w:tcPr>
          <w:p w14:paraId="4BFB428F"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1353BE0"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2469E45"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A32A91E"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248EA011" w14:textId="77777777" w:rsidR="00700BC6" w:rsidRPr="004B05A3" w:rsidRDefault="00700BC6" w:rsidP="00700BC6">
            <w:pPr>
              <w:spacing w:after="0" w:line="240" w:lineRule="auto"/>
              <w:jc w:val="both"/>
              <w:rPr>
                <w:rFonts w:ascii="Garamond" w:eastAsia="Times New Roman" w:hAnsi="Garamond" w:cs="Times New Roman"/>
                <w:color w:val="000000"/>
                <w:lang w:eastAsia="it-IT"/>
              </w:rPr>
            </w:pPr>
          </w:p>
        </w:tc>
        <w:tc>
          <w:tcPr>
            <w:tcW w:w="399" w:type="pct"/>
          </w:tcPr>
          <w:p w14:paraId="78D39C48" w14:textId="77777777" w:rsidR="00700BC6"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0E9F808C" w14:textId="435A4346" w:rsidR="00700BC6" w:rsidRDefault="00700BC6" w:rsidP="00700BC6">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000000"/>
                <w:lang w:eastAsia="it-IT"/>
              </w:rPr>
              <w:t xml:space="preserve">. </w:t>
            </w:r>
          </w:p>
          <w:p w14:paraId="18134292" w14:textId="77777777" w:rsidR="00700BC6" w:rsidRDefault="00700BC6" w:rsidP="00700BC6">
            <w:pPr>
              <w:spacing w:after="0" w:line="240" w:lineRule="auto"/>
              <w:jc w:val="both"/>
              <w:rPr>
                <w:rFonts w:ascii="Garamond" w:eastAsia="Times New Roman" w:hAnsi="Garamond" w:cs="Times New Roman"/>
                <w:b/>
                <w:bCs/>
                <w:color w:val="000000"/>
                <w:lang w:eastAsia="it-IT"/>
              </w:rPr>
            </w:pPr>
          </w:p>
          <w:p w14:paraId="35ED87FF" w14:textId="6BF6F4F0" w:rsidR="00700BC6" w:rsidRPr="00671669" w:rsidRDefault="00700BC6" w:rsidP="00700BC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p w14:paraId="74871AE0" w14:textId="77777777" w:rsidR="00700BC6" w:rsidRPr="00023F3C" w:rsidRDefault="00700BC6" w:rsidP="00700BC6">
            <w:pPr>
              <w:spacing w:after="0" w:line="240" w:lineRule="auto"/>
              <w:jc w:val="both"/>
              <w:rPr>
                <w:rFonts w:ascii="Garamond" w:eastAsia="Times New Roman" w:hAnsi="Garamond" w:cs="Times New Roman"/>
                <w:color w:val="000000"/>
                <w:lang w:eastAsia="it-IT"/>
              </w:rPr>
            </w:pPr>
          </w:p>
        </w:tc>
      </w:tr>
      <w:tr w:rsidR="00061F9F" w:rsidRPr="00023F3C" w14:paraId="4A4AC093" w14:textId="77777777" w:rsidTr="009B30BC">
        <w:trPr>
          <w:trHeight w:val="1466"/>
        </w:trPr>
        <w:tc>
          <w:tcPr>
            <w:tcW w:w="310" w:type="pct"/>
            <w:shd w:val="clear" w:color="auto" w:fill="auto"/>
            <w:vAlign w:val="center"/>
          </w:tcPr>
          <w:p w14:paraId="071F0B2A" w14:textId="46901F58" w:rsidR="00700BC6" w:rsidRPr="00061F9F" w:rsidRDefault="00B23038" w:rsidP="00B23038">
            <w:pPr>
              <w:spacing w:after="0" w:line="240" w:lineRule="auto"/>
              <w:jc w:val="center"/>
              <w:rPr>
                <w:rFonts w:ascii="Garamond" w:eastAsia="Times New Roman" w:hAnsi="Garamond" w:cs="Times New Roman"/>
                <w:color w:val="000000"/>
                <w:lang w:eastAsia="it-IT"/>
              </w:rPr>
            </w:pPr>
            <w:r w:rsidRPr="00061F9F">
              <w:rPr>
                <w:rFonts w:ascii="Garamond" w:eastAsia="Times New Roman" w:hAnsi="Garamond" w:cs="Times New Roman"/>
                <w:color w:val="000000"/>
                <w:lang w:eastAsia="it-IT"/>
              </w:rPr>
              <w:t>2</w:t>
            </w:r>
          </w:p>
        </w:tc>
        <w:tc>
          <w:tcPr>
            <w:tcW w:w="1464" w:type="pct"/>
            <w:shd w:val="clear" w:color="auto" w:fill="auto"/>
            <w:vAlign w:val="center"/>
          </w:tcPr>
          <w:p w14:paraId="4CFBEEBF" w14:textId="500455C3" w:rsidR="00700BC6" w:rsidRPr="00061F9F" w:rsidRDefault="00700BC6" w:rsidP="00700BC6">
            <w:pPr>
              <w:spacing w:after="0" w:line="240" w:lineRule="auto"/>
              <w:jc w:val="both"/>
              <w:rPr>
                <w:rFonts w:ascii="Garamond" w:eastAsia="Times New Roman" w:hAnsi="Garamond" w:cs="Times New Roman"/>
                <w:color w:val="000000"/>
                <w:lang w:eastAsia="it-IT"/>
              </w:rPr>
            </w:pPr>
            <w:r w:rsidRPr="00061F9F">
              <w:rPr>
                <w:rFonts w:ascii="Garamond" w:eastAsia="Times New Roman" w:hAnsi="Garamond" w:cs="Times New Roman"/>
                <w:color w:val="000000"/>
                <w:lang w:eastAsia="it-IT"/>
              </w:rPr>
              <w:t xml:space="preserve">La </w:t>
            </w:r>
            <w:r w:rsidR="00754561">
              <w:rPr>
                <w:rFonts w:ascii="Garamond" w:eastAsia="Times New Roman" w:hAnsi="Garamond" w:cs="Times New Roman"/>
                <w:color w:val="000000"/>
                <w:lang w:eastAsia="it-IT"/>
              </w:rPr>
              <w:t>d</w:t>
            </w:r>
            <w:r w:rsidRPr="00061F9F">
              <w:rPr>
                <w:rFonts w:ascii="Garamond" w:eastAsia="Times New Roman" w:hAnsi="Garamond" w:cs="Times New Roman"/>
                <w:color w:val="000000"/>
                <w:lang w:eastAsia="it-IT"/>
              </w:rPr>
              <w:t>ecisione di contrarre contiene l’adeguata motivazione</w:t>
            </w:r>
            <w:r w:rsidR="00984505">
              <w:rPr>
                <w:rFonts w:ascii="Garamond" w:eastAsia="Times New Roman" w:hAnsi="Garamond" w:cs="Times New Roman"/>
                <w:color w:val="000000"/>
                <w:lang w:eastAsia="it-IT"/>
              </w:rPr>
              <w:t>,</w:t>
            </w:r>
            <w:r w:rsidRPr="00061F9F">
              <w:rPr>
                <w:rFonts w:ascii="Garamond" w:eastAsia="Times New Roman" w:hAnsi="Garamond" w:cs="Times New Roman"/>
                <w:color w:val="000000"/>
                <w:lang w:eastAsia="it-IT"/>
              </w:rPr>
              <w:t xml:space="preserve"> ai sensi dell’art. 76</w:t>
            </w:r>
            <w:r w:rsidR="00984505">
              <w:rPr>
                <w:rFonts w:ascii="Garamond" w:eastAsia="Times New Roman" w:hAnsi="Garamond" w:cs="Times New Roman"/>
                <w:color w:val="000000"/>
                <w:lang w:eastAsia="it-IT"/>
              </w:rPr>
              <w:t>,</w:t>
            </w:r>
            <w:r w:rsidRPr="00061F9F">
              <w:rPr>
                <w:rFonts w:ascii="Garamond" w:eastAsia="Times New Roman" w:hAnsi="Garamond" w:cs="Times New Roman"/>
                <w:color w:val="000000"/>
                <w:lang w:eastAsia="it-IT"/>
              </w:rPr>
              <w:t xml:space="preserve"> comma 1</w:t>
            </w:r>
            <w:r w:rsidR="00984505">
              <w:rPr>
                <w:rFonts w:ascii="Garamond" w:eastAsia="Times New Roman" w:hAnsi="Garamond" w:cs="Times New Roman"/>
                <w:color w:val="000000"/>
                <w:lang w:eastAsia="it-IT"/>
              </w:rPr>
              <w:t>,</w:t>
            </w:r>
            <w:r w:rsidRPr="00061F9F">
              <w:rPr>
                <w:rFonts w:ascii="Garamond" w:eastAsia="Times New Roman" w:hAnsi="Garamond" w:cs="Times New Roman"/>
                <w:color w:val="000000"/>
                <w:lang w:eastAsia="it-IT"/>
              </w:rPr>
              <w:t xml:space="preserve"> del D.</w:t>
            </w:r>
            <w:r w:rsidR="00191356" w:rsidRPr="00061F9F">
              <w:rPr>
                <w:rFonts w:ascii="Garamond" w:eastAsia="Times New Roman" w:hAnsi="Garamond" w:cs="Times New Roman"/>
                <w:color w:val="000000"/>
                <w:lang w:eastAsia="it-IT"/>
              </w:rPr>
              <w:t xml:space="preserve"> L</w:t>
            </w:r>
            <w:r w:rsidRPr="00061F9F">
              <w:rPr>
                <w:rFonts w:ascii="Garamond" w:eastAsia="Times New Roman" w:hAnsi="Garamond" w:cs="Times New Roman"/>
                <w:color w:val="000000"/>
                <w:lang w:eastAsia="it-IT"/>
              </w:rPr>
              <w:t>gs. 36/2023</w:t>
            </w:r>
            <w:r w:rsidR="00984505">
              <w:rPr>
                <w:rFonts w:ascii="Garamond" w:eastAsia="Times New Roman" w:hAnsi="Garamond" w:cs="Times New Roman"/>
                <w:color w:val="000000"/>
                <w:lang w:eastAsia="it-IT"/>
              </w:rPr>
              <w:t>,</w:t>
            </w:r>
            <w:r w:rsidRPr="00061F9F">
              <w:rPr>
                <w:rFonts w:ascii="Garamond" w:eastAsia="Times New Roman" w:hAnsi="Garamond" w:cs="Times New Roman"/>
                <w:color w:val="000000"/>
                <w:lang w:eastAsia="it-IT"/>
              </w:rPr>
              <w:t xml:space="preserve"> del ricorso alla procedura negoziata e dei relativi presupposti?</w:t>
            </w:r>
          </w:p>
        </w:tc>
        <w:tc>
          <w:tcPr>
            <w:tcW w:w="129" w:type="pct"/>
            <w:shd w:val="clear" w:color="auto" w:fill="auto"/>
            <w:vAlign w:val="center"/>
          </w:tcPr>
          <w:p w14:paraId="780300D5" w14:textId="77777777" w:rsidR="00700BC6" w:rsidRPr="00061F9F"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643D75A" w14:textId="77777777" w:rsidR="00700BC6" w:rsidRPr="00061F9F"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3A967CC" w14:textId="77777777" w:rsidR="00700BC6" w:rsidRPr="00061F9F"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4FFB740" w14:textId="77777777" w:rsidR="00700BC6" w:rsidRPr="00061F9F"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12610A7" w14:textId="7CD0ED09" w:rsidR="00700BC6" w:rsidRPr="00984505" w:rsidRDefault="00700BC6" w:rsidP="00700BC6">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tcPr>
          <w:p w14:paraId="79264366" w14:textId="77777777" w:rsidR="00700BC6" w:rsidRPr="00061F9F" w:rsidRDefault="00700BC6" w:rsidP="00700BC6">
            <w:pPr>
              <w:spacing w:after="0" w:line="240" w:lineRule="auto"/>
              <w:jc w:val="both"/>
              <w:rPr>
                <w:rFonts w:ascii="Garamond" w:eastAsia="Times New Roman" w:hAnsi="Garamond" w:cs="Times New Roman"/>
                <w:b/>
                <w:bCs/>
                <w:color w:val="000000"/>
                <w:lang w:eastAsia="it-IT"/>
              </w:rPr>
            </w:pPr>
          </w:p>
        </w:tc>
        <w:tc>
          <w:tcPr>
            <w:tcW w:w="1150" w:type="pct"/>
            <w:shd w:val="clear" w:color="auto" w:fill="auto"/>
            <w:vAlign w:val="center"/>
          </w:tcPr>
          <w:p w14:paraId="4B36247F" w14:textId="59CF1A06" w:rsidR="00700BC6" w:rsidRPr="00061F9F" w:rsidRDefault="00700BC6" w:rsidP="00700BC6">
            <w:pPr>
              <w:spacing w:after="0" w:line="240" w:lineRule="auto"/>
              <w:jc w:val="both"/>
              <w:rPr>
                <w:rFonts w:ascii="Garamond" w:eastAsia="Times New Roman" w:hAnsi="Garamond" w:cs="Times New Roman"/>
                <w:color w:val="000000"/>
                <w:lang w:eastAsia="it-IT"/>
              </w:rPr>
            </w:pPr>
            <w:r w:rsidRPr="00061F9F">
              <w:rPr>
                <w:rFonts w:ascii="Garamond" w:eastAsia="Times New Roman" w:hAnsi="Garamond" w:cs="Times New Roman"/>
                <w:b/>
                <w:bCs/>
                <w:color w:val="000000"/>
                <w:lang w:eastAsia="it-IT"/>
              </w:rPr>
              <w:t xml:space="preserve">• </w:t>
            </w:r>
            <w:r w:rsidRPr="00061F9F">
              <w:rPr>
                <w:rFonts w:ascii="Garamond" w:eastAsia="Times New Roman" w:hAnsi="Garamond" w:cs="Times New Roman"/>
                <w:color w:val="000000"/>
                <w:lang w:eastAsia="it-IT"/>
              </w:rPr>
              <w:t>Decisione di contrarre o atto analogo</w:t>
            </w:r>
          </w:p>
          <w:p w14:paraId="6C59C0EA" w14:textId="537920E5" w:rsidR="00061F9F" w:rsidRPr="00061F9F" w:rsidRDefault="00700BC6" w:rsidP="00700BC6">
            <w:pPr>
              <w:spacing w:after="0" w:line="240" w:lineRule="auto"/>
              <w:jc w:val="both"/>
              <w:rPr>
                <w:rFonts w:ascii="Garamond" w:eastAsia="Times New Roman" w:hAnsi="Garamond" w:cs="Times New Roman"/>
                <w:color w:val="000000"/>
                <w:lang w:eastAsia="it-IT"/>
              </w:rPr>
            </w:pPr>
            <w:r w:rsidRPr="00061F9F">
              <w:rPr>
                <w:rFonts w:ascii="Garamond" w:eastAsia="Times New Roman" w:hAnsi="Garamond" w:cs="Times New Roman"/>
                <w:b/>
                <w:bCs/>
                <w:color w:val="000000"/>
                <w:lang w:eastAsia="it-IT"/>
              </w:rPr>
              <w:t xml:space="preserve">• </w:t>
            </w:r>
            <w:r w:rsidRPr="00061F9F">
              <w:rPr>
                <w:rFonts w:ascii="Garamond" w:eastAsia="Times New Roman" w:hAnsi="Garamond" w:cs="Times New Roman"/>
                <w:color w:val="000000"/>
                <w:lang w:eastAsia="it-IT"/>
              </w:rPr>
              <w:t>relazione tecnica/altro</w:t>
            </w:r>
          </w:p>
        </w:tc>
      </w:tr>
      <w:tr w:rsidR="00700BC6" w:rsidRPr="00023F3C" w14:paraId="4AC98D9B" w14:textId="6BBE134E" w:rsidTr="009B30BC">
        <w:trPr>
          <w:trHeight w:val="819"/>
        </w:trPr>
        <w:tc>
          <w:tcPr>
            <w:tcW w:w="310" w:type="pct"/>
            <w:shd w:val="clear" w:color="auto" w:fill="auto"/>
            <w:vAlign w:val="center"/>
          </w:tcPr>
          <w:p w14:paraId="0304E2B1" w14:textId="7A2A2288" w:rsidR="00700BC6" w:rsidRDefault="00667BEA"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6D79532D" w14:textId="2F7A8FDC" w:rsidR="00700BC6" w:rsidRPr="00023F3C" w:rsidRDefault="00700BC6" w:rsidP="00700B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29" w:type="pct"/>
            <w:shd w:val="clear" w:color="auto" w:fill="auto"/>
            <w:vAlign w:val="center"/>
          </w:tcPr>
          <w:p w14:paraId="6278CC00" w14:textId="0BEDBC13"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F370712" w14:textId="3A54CD84"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D172D09" w14:textId="625D05A9"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D277089" w14:textId="25AF13E4"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D150F6F" w14:textId="489AD018" w:rsidR="00700BC6" w:rsidRPr="004B05A3" w:rsidRDefault="00700BC6" w:rsidP="00700BC6">
            <w:pPr>
              <w:spacing w:after="0" w:line="240" w:lineRule="auto"/>
              <w:jc w:val="both"/>
              <w:rPr>
                <w:rFonts w:ascii="Garamond" w:eastAsia="Times New Roman" w:hAnsi="Garamond" w:cs="Times New Roman"/>
                <w:color w:val="000000"/>
                <w:lang w:eastAsia="it-IT"/>
              </w:rPr>
            </w:pPr>
          </w:p>
        </w:tc>
        <w:tc>
          <w:tcPr>
            <w:tcW w:w="399" w:type="pct"/>
          </w:tcPr>
          <w:p w14:paraId="0013292D"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2BFE0319" w14:textId="7E4D8C7A"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E715A6" w:rsidRPr="00023F3C" w14:paraId="2744BCA5" w14:textId="77777777" w:rsidTr="00106A1A">
        <w:trPr>
          <w:trHeight w:val="834"/>
        </w:trPr>
        <w:tc>
          <w:tcPr>
            <w:tcW w:w="310" w:type="pct"/>
            <w:shd w:val="clear" w:color="auto" w:fill="B4C6E7" w:themeFill="accent1" w:themeFillTint="66"/>
            <w:vAlign w:val="center"/>
          </w:tcPr>
          <w:p w14:paraId="33EAC01D" w14:textId="59B7C521" w:rsidR="00E715A6" w:rsidRPr="00300AD4" w:rsidRDefault="00E715A6" w:rsidP="00E715A6">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4690" w:type="pct"/>
            <w:gridSpan w:val="8"/>
            <w:shd w:val="clear" w:color="auto" w:fill="B4C6E7" w:themeFill="accent1" w:themeFillTint="66"/>
            <w:vAlign w:val="center"/>
          </w:tcPr>
          <w:p w14:paraId="4DB80280" w14:textId="5DC0A021" w:rsidR="00E715A6" w:rsidRPr="00300AD4" w:rsidRDefault="007E3777" w:rsidP="00E715A6">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Le pubblicazioni</w:t>
            </w:r>
          </w:p>
        </w:tc>
      </w:tr>
      <w:tr w:rsidR="0047189E" w:rsidRPr="00023F3C" w14:paraId="13CCCF09" w14:textId="77777777" w:rsidTr="009B30BC">
        <w:trPr>
          <w:trHeight w:val="1417"/>
        </w:trPr>
        <w:tc>
          <w:tcPr>
            <w:tcW w:w="310" w:type="pct"/>
            <w:shd w:val="clear" w:color="auto" w:fill="auto"/>
            <w:vAlign w:val="center"/>
          </w:tcPr>
          <w:p w14:paraId="00BE58A0" w14:textId="1BCB4F27" w:rsidR="0047189E" w:rsidRDefault="0047189E"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215A92A5" w14:textId="61A84EAD" w:rsidR="0047189E" w:rsidRDefault="0047189E" w:rsidP="0047189E">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Nel caso sia stato pubblicato un avviso di </w:t>
            </w:r>
            <w:proofErr w:type="spellStart"/>
            <w:r w:rsidRPr="001A50CC">
              <w:rPr>
                <w:rFonts w:ascii="Garamond" w:eastAsia="Times New Roman" w:hAnsi="Garamond" w:cs="Times New Roman"/>
                <w:lang w:eastAsia="it-IT"/>
              </w:rPr>
              <w:t>pre</w:t>
            </w:r>
            <w:proofErr w:type="spellEnd"/>
            <w:r w:rsidRPr="001A50CC">
              <w:rPr>
                <w:rFonts w:ascii="Garamond" w:eastAsia="Times New Roman" w:hAnsi="Garamond" w:cs="Times New Roman"/>
                <w:lang w:eastAsia="it-IT"/>
              </w:rPr>
              <w:t>-informazione, che non sia stato usato come mezzo di indizione di una gara, è stato rispettato il termine minimo per la ricezione delle offerte indicato dall’art. 7</w:t>
            </w:r>
            <w:r>
              <w:rPr>
                <w:rFonts w:ascii="Garamond" w:eastAsia="Times New Roman" w:hAnsi="Garamond" w:cs="Times New Roman"/>
                <w:lang w:eastAsia="it-IT"/>
              </w:rPr>
              <w:t>2</w:t>
            </w:r>
            <w:r w:rsidRPr="001A50CC">
              <w:rPr>
                <w:rFonts w:ascii="Garamond" w:eastAsia="Times New Roman" w:hAnsi="Garamond" w:cs="Times New Roman"/>
                <w:lang w:eastAsia="it-IT"/>
              </w:rPr>
              <w:t xml:space="preserve">, comma </w:t>
            </w:r>
            <w:r>
              <w:rPr>
                <w:rFonts w:ascii="Garamond" w:eastAsia="Times New Roman" w:hAnsi="Garamond" w:cs="Times New Roman"/>
                <w:lang w:eastAsia="it-IT"/>
              </w:rPr>
              <w:t>3</w:t>
            </w:r>
            <w:r w:rsidRPr="001A50CC">
              <w:rPr>
                <w:rFonts w:ascii="Garamond" w:eastAsia="Times New Roman" w:hAnsi="Garamond" w:cs="Times New Roman"/>
                <w:lang w:eastAsia="it-IT"/>
              </w:rPr>
              <w:t xml:space="preserve">,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 xml:space="preserve">gs. 36/2023 ed è stata verificata l’integrazione delle condizioni poste dalle lett. a) e b) </w:t>
            </w:r>
            <w:r w:rsidRPr="001A50CC">
              <w:rPr>
                <w:rFonts w:ascii="Garamond" w:eastAsia="Times New Roman" w:hAnsi="Garamond" w:cs="Times New Roman"/>
                <w:lang w:eastAsia="it-IT"/>
              </w:rPr>
              <w:lastRenderedPageBreak/>
              <w:t>del comma 4 del</w:t>
            </w:r>
            <w:r>
              <w:rPr>
                <w:rFonts w:ascii="Garamond" w:eastAsia="Times New Roman" w:hAnsi="Garamond" w:cs="Times New Roman"/>
                <w:lang w:eastAsia="it-IT"/>
              </w:rPr>
              <w:t xml:space="preserve"> medesimo </w:t>
            </w:r>
            <w:r w:rsidRPr="001A50CC">
              <w:rPr>
                <w:rFonts w:ascii="Garamond" w:eastAsia="Times New Roman" w:hAnsi="Garamond" w:cs="Times New Roman"/>
                <w:lang w:eastAsia="it-IT"/>
              </w:rPr>
              <w:t>art. 7</w:t>
            </w:r>
            <w:r>
              <w:rPr>
                <w:rFonts w:ascii="Garamond" w:eastAsia="Times New Roman" w:hAnsi="Garamond" w:cs="Times New Roman"/>
                <w:lang w:eastAsia="it-IT"/>
              </w:rPr>
              <w:t>2</w:t>
            </w:r>
            <w:r w:rsidRPr="001A50CC">
              <w:rPr>
                <w:rFonts w:ascii="Garamond" w:eastAsia="Times New Roman" w:hAnsi="Garamond" w:cs="Times New Roman"/>
                <w:lang w:eastAsia="it-IT"/>
              </w:rPr>
              <w:t xml:space="preserve">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29" w:type="pct"/>
            <w:shd w:val="clear" w:color="auto" w:fill="auto"/>
            <w:vAlign w:val="center"/>
          </w:tcPr>
          <w:p w14:paraId="2AB89757" w14:textId="77777777" w:rsidR="0047189E" w:rsidRPr="00023F3C" w:rsidRDefault="0047189E" w:rsidP="0047189E">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692A9F5" w14:textId="77777777" w:rsidR="0047189E" w:rsidRPr="00023F3C" w:rsidRDefault="0047189E" w:rsidP="0047189E">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38EC075" w14:textId="77777777" w:rsidR="0047189E" w:rsidRPr="00023F3C" w:rsidRDefault="0047189E" w:rsidP="0047189E">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67A1D49" w14:textId="77777777" w:rsidR="0047189E" w:rsidRPr="00023F3C" w:rsidRDefault="0047189E" w:rsidP="0047189E">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25C25456" w14:textId="5BA9DB93" w:rsidR="0047189E" w:rsidRPr="00023F3C" w:rsidRDefault="0047189E" w:rsidP="0047189E">
            <w:pPr>
              <w:spacing w:after="0" w:line="240" w:lineRule="auto"/>
              <w:jc w:val="both"/>
              <w:rPr>
                <w:rFonts w:ascii="Garamond" w:eastAsia="Times New Roman" w:hAnsi="Garamond" w:cs="Times New Roman"/>
                <w:b/>
                <w:bCs/>
                <w:color w:val="000000"/>
                <w:lang w:eastAsia="it-IT"/>
              </w:rPr>
            </w:pPr>
          </w:p>
        </w:tc>
        <w:tc>
          <w:tcPr>
            <w:tcW w:w="399" w:type="pct"/>
            <w:shd w:val="clear" w:color="auto" w:fill="auto"/>
          </w:tcPr>
          <w:p w14:paraId="2B2A206A" w14:textId="77777777" w:rsidR="0047189E" w:rsidRPr="00AD0ADE" w:rsidRDefault="0047189E" w:rsidP="0047189E">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A2A4CB1" w14:textId="5E251206" w:rsidR="0047189E" w:rsidRPr="00AD0ADE" w:rsidRDefault="0047189E" w:rsidP="0047189E">
            <w:pPr>
              <w:spacing w:after="0" w:line="240" w:lineRule="auto"/>
              <w:jc w:val="both"/>
              <w:rPr>
                <w:rFonts w:ascii="Garamond" w:eastAsia="Times New Roman" w:hAnsi="Garamond" w:cs="Times New Roman"/>
                <w:color w:val="000000"/>
                <w:lang w:eastAsia="it-IT"/>
              </w:rPr>
            </w:pPr>
            <w:r w:rsidRPr="000071F1">
              <w:rPr>
                <w:rFonts w:ascii="Garamond" w:eastAsia="Times New Roman" w:hAnsi="Garamond" w:cs="Times New Roman"/>
                <w:color w:val="000000"/>
                <w:lang w:eastAsia="it-IT"/>
              </w:rPr>
              <w:t xml:space="preserve">• Avviso di </w:t>
            </w:r>
            <w:proofErr w:type="spellStart"/>
            <w:r w:rsidRPr="000071F1">
              <w:rPr>
                <w:rFonts w:ascii="Garamond" w:eastAsia="Times New Roman" w:hAnsi="Garamond" w:cs="Times New Roman"/>
                <w:color w:val="000000"/>
                <w:lang w:eastAsia="it-IT"/>
              </w:rPr>
              <w:t>pre</w:t>
            </w:r>
            <w:proofErr w:type="spellEnd"/>
            <w:r w:rsidRPr="000071F1">
              <w:rPr>
                <w:rFonts w:ascii="Garamond" w:eastAsia="Times New Roman" w:hAnsi="Garamond" w:cs="Times New Roman"/>
                <w:color w:val="000000"/>
                <w:lang w:eastAsia="it-IT"/>
              </w:rPr>
              <w:t>-informazione</w:t>
            </w:r>
          </w:p>
        </w:tc>
      </w:tr>
      <w:tr w:rsidR="007F1971" w:rsidRPr="00023F3C" w14:paraId="65C5EF57" w14:textId="77777777" w:rsidTr="009B30BC">
        <w:trPr>
          <w:trHeight w:val="1417"/>
        </w:trPr>
        <w:tc>
          <w:tcPr>
            <w:tcW w:w="310" w:type="pct"/>
            <w:shd w:val="clear" w:color="auto" w:fill="auto"/>
            <w:vAlign w:val="center"/>
          </w:tcPr>
          <w:p w14:paraId="37F5D24E" w14:textId="40E37E49" w:rsidR="007F1971" w:rsidRDefault="007F1971"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6C91C5F0" w14:textId="1ED3BD91" w:rsidR="007F1971" w:rsidRDefault="007F1971" w:rsidP="007F1971">
            <w:pPr>
              <w:spacing w:after="0" w:line="240" w:lineRule="auto"/>
              <w:jc w:val="both"/>
              <w:rPr>
                <w:rFonts w:ascii="Garamond" w:eastAsia="Times New Roman" w:hAnsi="Garamond" w:cs="Times New Roman"/>
                <w:color w:val="000000"/>
                <w:lang w:eastAsia="it-IT"/>
              </w:rPr>
            </w:pPr>
            <w:r w:rsidRPr="00F21160">
              <w:rPr>
                <w:rFonts w:ascii="Garamond" w:eastAsia="Times New Roman" w:hAnsi="Garamond" w:cs="Times New Roman"/>
                <w:color w:val="000000"/>
                <w:lang w:eastAsia="it-IT"/>
              </w:rPr>
              <w:t>L</w:t>
            </w:r>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 xml:space="preserve">avviso di </w:t>
            </w:r>
            <w:proofErr w:type="spellStart"/>
            <w:r w:rsidRPr="00F21160">
              <w:rPr>
                <w:rFonts w:ascii="Garamond" w:eastAsia="Times New Roman" w:hAnsi="Garamond" w:cs="Times New Roman"/>
                <w:color w:val="000000"/>
                <w:lang w:eastAsia="it-IT"/>
              </w:rPr>
              <w:t>pre</w:t>
            </w:r>
            <w:proofErr w:type="spellEnd"/>
            <w:r>
              <w:rPr>
                <w:rFonts w:ascii="Garamond" w:eastAsia="Times New Roman" w:hAnsi="Garamond" w:cs="Times New Roman"/>
                <w:color w:val="000000"/>
                <w:lang w:eastAsia="it-IT"/>
              </w:rPr>
              <w:t>-</w:t>
            </w:r>
            <w:r w:rsidRPr="00F21160">
              <w:rPr>
                <w:rFonts w:ascii="Garamond" w:eastAsia="Times New Roman" w:hAnsi="Garamond" w:cs="Times New Roman"/>
                <w:color w:val="000000"/>
                <w:lang w:eastAsia="it-IT"/>
              </w:rPr>
              <w:t xml:space="preserve">informazione contiene tutte le informazioni richieste per il </w:t>
            </w:r>
            <w:r w:rsidR="008C4FB2">
              <w:rPr>
                <w:rFonts w:ascii="Garamond" w:eastAsia="Times New Roman" w:hAnsi="Garamond" w:cs="Times New Roman"/>
                <w:color w:val="000000"/>
                <w:lang w:eastAsia="it-IT"/>
              </w:rPr>
              <w:t>Lettera d’invito</w:t>
            </w:r>
            <w:r w:rsidRPr="00F21160">
              <w:rPr>
                <w:rFonts w:ascii="Garamond" w:eastAsia="Times New Roman" w:hAnsi="Garamond" w:cs="Times New Roman"/>
                <w:color w:val="000000"/>
                <w:lang w:eastAsia="it-IT"/>
              </w:rPr>
              <w:t xml:space="preserve"> di gara di cui all'</w:t>
            </w:r>
            <w:r>
              <w:rPr>
                <w:rFonts w:ascii="Garamond" w:eastAsia="Times New Roman" w:hAnsi="Garamond" w:cs="Times New Roman"/>
                <w:color w:val="000000"/>
                <w:lang w:eastAsia="it-IT"/>
              </w:rPr>
              <w:t>A</w:t>
            </w:r>
            <w:r w:rsidRPr="00F21160">
              <w:rPr>
                <w:rFonts w:ascii="Garamond" w:eastAsia="Times New Roman" w:hAnsi="Garamond" w:cs="Times New Roman"/>
                <w:color w:val="000000"/>
                <w:lang w:eastAsia="it-IT"/>
              </w:rPr>
              <w:t>llegato</w:t>
            </w:r>
            <w:r>
              <w:rPr>
                <w:rFonts w:ascii="Garamond" w:eastAsia="Times New Roman" w:hAnsi="Garamond" w:cs="Times New Roman"/>
                <w:color w:val="000000"/>
                <w:lang w:eastAsia="it-IT"/>
              </w:rPr>
              <w:t xml:space="preserve"> </w:t>
            </w:r>
            <w:r w:rsidRPr="00F87E02">
              <w:rPr>
                <w:rFonts w:ascii="Garamond" w:eastAsia="Times New Roman" w:hAnsi="Garamond" w:cs="Times New Roman"/>
                <w:color w:val="000000"/>
                <w:lang w:eastAsia="it-IT"/>
              </w:rPr>
              <w:t>II.6, Parte I, lettera B, sezione B.1</w:t>
            </w:r>
            <w:r>
              <w:rPr>
                <w:rFonts w:ascii="Garamond" w:eastAsia="Times New Roman" w:hAnsi="Garamond" w:cs="Times New Roman"/>
                <w:color w:val="000000"/>
                <w:lang w:eastAsia="it-IT"/>
              </w:rPr>
              <w:t xml:space="preserve"> al D. Lgs. 36/2023</w:t>
            </w:r>
            <w:r w:rsidRPr="00F21160">
              <w:rPr>
                <w:rFonts w:ascii="Garamond" w:eastAsia="Times New Roman" w:hAnsi="Garamond" w:cs="Times New Roman"/>
                <w:color w:val="000000"/>
                <w:lang w:eastAsia="it-IT"/>
              </w:rPr>
              <w:t>?</w:t>
            </w:r>
          </w:p>
        </w:tc>
        <w:tc>
          <w:tcPr>
            <w:tcW w:w="129" w:type="pct"/>
            <w:shd w:val="clear" w:color="auto" w:fill="auto"/>
            <w:vAlign w:val="center"/>
          </w:tcPr>
          <w:p w14:paraId="2F636C98"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449C5FC"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D3D01F3"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880CA53"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5FDEC684"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399" w:type="pct"/>
            <w:vAlign w:val="center"/>
          </w:tcPr>
          <w:p w14:paraId="0072932B" w14:textId="77777777" w:rsidR="007F1971" w:rsidRPr="00AD0ADE" w:rsidRDefault="007F1971" w:rsidP="007F1971">
            <w:pPr>
              <w:spacing w:after="0" w:line="240" w:lineRule="auto"/>
              <w:jc w:val="both"/>
              <w:rPr>
                <w:rFonts w:ascii="Garamond" w:eastAsia="Times New Roman" w:hAnsi="Garamond" w:cs="Times New Roman"/>
                <w:color w:val="000000"/>
                <w:lang w:eastAsia="it-IT"/>
              </w:rPr>
            </w:pPr>
          </w:p>
        </w:tc>
        <w:tc>
          <w:tcPr>
            <w:tcW w:w="1150" w:type="pct"/>
            <w:vAlign w:val="center"/>
          </w:tcPr>
          <w:p w14:paraId="46848A99" w14:textId="61F1DB84" w:rsidR="007F1971" w:rsidRPr="00AD0ADE" w:rsidRDefault="007F1971" w:rsidP="007F1971">
            <w:pPr>
              <w:spacing w:after="0" w:line="240" w:lineRule="auto"/>
              <w:jc w:val="both"/>
              <w:rPr>
                <w:rFonts w:ascii="Garamond" w:eastAsia="Times New Roman" w:hAnsi="Garamond" w:cs="Times New Roman"/>
                <w:color w:val="000000"/>
                <w:lang w:eastAsia="it-IT"/>
              </w:rPr>
            </w:pPr>
            <w:r w:rsidRPr="009F1416">
              <w:rPr>
                <w:rFonts w:ascii="Garamond" w:eastAsia="Times New Roman" w:hAnsi="Garamond" w:cs="Times New Roman"/>
                <w:color w:val="000000"/>
                <w:lang w:eastAsia="it-IT"/>
              </w:rPr>
              <w:t xml:space="preserve">• Avviso di </w:t>
            </w:r>
            <w:proofErr w:type="spellStart"/>
            <w:r w:rsidRPr="009F1416">
              <w:rPr>
                <w:rFonts w:ascii="Garamond" w:eastAsia="Times New Roman" w:hAnsi="Garamond" w:cs="Times New Roman"/>
                <w:color w:val="000000"/>
                <w:lang w:eastAsia="it-IT"/>
              </w:rPr>
              <w:t>pre</w:t>
            </w:r>
            <w:proofErr w:type="spellEnd"/>
            <w:r w:rsidRPr="009F1416">
              <w:rPr>
                <w:rFonts w:ascii="Garamond" w:eastAsia="Times New Roman" w:hAnsi="Garamond" w:cs="Times New Roman"/>
                <w:color w:val="000000"/>
                <w:lang w:eastAsia="it-IT"/>
              </w:rPr>
              <w:t>-informazione</w:t>
            </w:r>
          </w:p>
        </w:tc>
      </w:tr>
      <w:tr w:rsidR="007F1971" w:rsidRPr="00023F3C" w14:paraId="7ED16A06" w14:textId="77777777" w:rsidTr="009B30BC">
        <w:trPr>
          <w:trHeight w:val="1016"/>
        </w:trPr>
        <w:tc>
          <w:tcPr>
            <w:tcW w:w="310" w:type="pct"/>
            <w:shd w:val="clear" w:color="auto" w:fill="auto"/>
            <w:vAlign w:val="center"/>
          </w:tcPr>
          <w:p w14:paraId="2882DFD9" w14:textId="167F4912" w:rsidR="007F1971" w:rsidRDefault="007F1971"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3FD24B7F" w14:textId="2C230385" w:rsidR="007F1971" w:rsidRDefault="007F1971" w:rsidP="007F197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29" w:type="pct"/>
            <w:shd w:val="clear" w:color="auto" w:fill="auto"/>
            <w:vAlign w:val="center"/>
          </w:tcPr>
          <w:p w14:paraId="01A71272"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17B4196"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08FC45F"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66D74A5"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4020C079" w14:textId="77777777" w:rsidR="007F1971" w:rsidRPr="00023F3C" w:rsidRDefault="007F1971" w:rsidP="007F1971">
            <w:pPr>
              <w:spacing w:after="0" w:line="240" w:lineRule="auto"/>
              <w:jc w:val="both"/>
              <w:rPr>
                <w:rFonts w:ascii="Garamond" w:eastAsia="Times New Roman" w:hAnsi="Garamond" w:cs="Times New Roman"/>
                <w:b/>
                <w:bCs/>
                <w:color w:val="000000"/>
                <w:lang w:eastAsia="it-IT"/>
              </w:rPr>
            </w:pPr>
          </w:p>
        </w:tc>
        <w:tc>
          <w:tcPr>
            <w:tcW w:w="399" w:type="pct"/>
            <w:vAlign w:val="center"/>
          </w:tcPr>
          <w:p w14:paraId="4384B654" w14:textId="77777777" w:rsidR="007F1971" w:rsidRPr="00AD0ADE" w:rsidRDefault="007F1971" w:rsidP="007F1971">
            <w:pPr>
              <w:spacing w:after="0" w:line="240" w:lineRule="auto"/>
              <w:jc w:val="both"/>
              <w:rPr>
                <w:rFonts w:ascii="Garamond" w:eastAsia="Times New Roman" w:hAnsi="Garamond" w:cs="Times New Roman"/>
                <w:color w:val="000000"/>
                <w:lang w:eastAsia="it-IT"/>
              </w:rPr>
            </w:pPr>
          </w:p>
        </w:tc>
        <w:tc>
          <w:tcPr>
            <w:tcW w:w="1150" w:type="pct"/>
            <w:vAlign w:val="center"/>
          </w:tcPr>
          <w:p w14:paraId="55537C39" w14:textId="564ABFD6" w:rsidR="007F1971" w:rsidRPr="00AD0ADE" w:rsidRDefault="007F1971" w:rsidP="007F1971">
            <w:pPr>
              <w:spacing w:after="0" w:line="240" w:lineRule="auto"/>
              <w:jc w:val="both"/>
              <w:rPr>
                <w:rFonts w:ascii="Garamond" w:eastAsia="Times New Roman" w:hAnsi="Garamond" w:cs="Times New Roman"/>
                <w:color w:val="000000"/>
                <w:lang w:eastAsia="it-IT"/>
              </w:rPr>
            </w:pPr>
            <w:r w:rsidRPr="001B4D1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w:t>
            </w:r>
            <w:r w:rsidRPr="001B4D18">
              <w:rPr>
                <w:rFonts w:ascii="Garamond" w:eastAsia="Times New Roman" w:hAnsi="Garamond" w:cs="Times New Roman"/>
                <w:color w:val="000000"/>
                <w:lang w:eastAsia="it-IT"/>
              </w:rPr>
              <w:t xml:space="preserve">ezione </w:t>
            </w:r>
            <w:r>
              <w:rPr>
                <w:rFonts w:ascii="Garamond" w:eastAsia="Times New Roman" w:hAnsi="Garamond" w:cs="Times New Roman"/>
                <w:color w:val="000000"/>
                <w:lang w:eastAsia="it-IT"/>
              </w:rPr>
              <w:t>“</w:t>
            </w:r>
            <w:r w:rsidRPr="001B4D18">
              <w:rPr>
                <w:rFonts w:ascii="Garamond" w:eastAsia="Times New Roman" w:hAnsi="Garamond" w:cs="Times New Roman"/>
                <w:color w:val="000000"/>
                <w:lang w:eastAsia="it-IT"/>
              </w:rPr>
              <w:t>amministrazione trasparente</w:t>
            </w:r>
            <w:r>
              <w:rPr>
                <w:rFonts w:ascii="Garamond" w:eastAsia="Times New Roman" w:hAnsi="Garamond" w:cs="Times New Roman"/>
                <w:color w:val="000000"/>
                <w:lang w:eastAsia="it-IT"/>
              </w:rPr>
              <w:t>” del profilo di committente</w:t>
            </w:r>
            <w:r w:rsidRPr="001B4D18">
              <w:rPr>
                <w:rFonts w:ascii="Garamond" w:eastAsia="Times New Roman" w:hAnsi="Garamond" w:cs="Times New Roman"/>
                <w:color w:val="000000"/>
                <w:lang w:eastAsia="it-IT"/>
              </w:rPr>
              <w:t xml:space="preserve"> </w:t>
            </w:r>
          </w:p>
        </w:tc>
      </w:tr>
      <w:tr w:rsidR="00106A1A" w:rsidRPr="00023F3C" w14:paraId="54DDFBFC" w14:textId="77777777" w:rsidTr="009B30BC">
        <w:trPr>
          <w:trHeight w:val="1130"/>
        </w:trPr>
        <w:tc>
          <w:tcPr>
            <w:tcW w:w="310" w:type="pct"/>
            <w:shd w:val="clear" w:color="auto" w:fill="auto"/>
            <w:vAlign w:val="center"/>
          </w:tcPr>
          <w:p w14:paraId="7A53F217" w14:textId="3B90A416" w:rsidR="00106A1A" w:rsidRDefault="00106A1A"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64" w:type="pct"/>
            <w:shd w:val="clear" w:color="auto" w:fill="auto"/>
            <w:vAlign w:val="center"/>
          </w:tcPr>
          <w:p w14:paraId="017B621B" w14:textId="36F3AEBE" w:rsidR="00106A1A" w:rsidRDefault="00106A1A" w:rsidP="00106A1A">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I documenti di gara sono stati resi disponibili in forma digitale, in modo gratuito, illimitato e diretto (art. 88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29" w:type="pct"/>
            <w:shd w:val="clear" w:color="auto" w:fill="auto"/>
            <w:vAlign w:val="center"/>
          </w:tcPr>
          <w:p w14:paraId="756F621F" w14:textId="77777777" w:rsidR="00106A1A" w:rsidRPr="00023F3C" w:rsidRDefault="00106A1A" w:rsidP="00106A1A">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D1447EE" w14:textId="77777777" w:rsidR="00106A1A" w:rsidRPr="00023F3C" w:rsidRDefault="00106A1A" w:rsidP="00106A1A">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E1866D4" w14:textId="77777777" w:rsidR="00106A1A" w:rsidRPr="00023F3C" w:rsidRDefault="00106A1A" w:rsidP="00106A1A">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92DA60A" w14:textId="77777777" w:rsidR="00106A1A" w:rsidRPr="00023F3C" w:rsidRDefault="00106A1A" w:rsidP="00106A1A">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57478AFF" w14:textId="77777777" w:rsidR="00106A1A" w:rsidRPr="00023F3C" w:rsidRDefault="00106A1A" w:rsidP="00106A1A">
            <w:pPr>
              <w:spacing w:after="0" w:line="240" w:lineRule="auto"/>
              <w:jc w:val="both"/>
              <w:rPr>
                <w:rFonts w:ascii="Garamond" w:eastAsia="Times New Roman" w:hAnsi="Garamond" w:cs="Times New Roman"/>
                <w:b/>
                <w:bCs/>
                <w:color w:val="000000"/>
                <w:lang w:eastAsia="it-IT"/>
              </w:rPr>
            </w:pPr>
          </w:p>
        </w:tc>
        <w:tc>
          <w:tcPr>
            <w:tcW w:w="399" w:type="pct"/>
            <w:vAlign w:val="center"/>
          </w:tcPr>
          <w:p w14:paraId="6EAC4FC5" w14:textId="77777777" w:rsidR="00106A1A" w:rsidRPr="00AD0ADE" w:rsidRDefault="00106A1A" w:rsidP="00106A1A">
            <w:pPr>
              <w:spacing w:after="0" w:line="240" w:lineRule="auto"/>
              <w:jc w:val="both"/>
              <w:rPr>
                <w:rFonts w:ascii="Garamond" w:eastAsia="Times New Roman" w:hAnsi="Garamond" w:cs="Times New Roman"/>
                <w:color w:val="000000"/>
                <w:lang w:eastAsia="it-IT"/>
              </w:rPr>
            </w:pPr>
          </w:p>
        </w:tc>
        <w:tc>
          <w:tcPr>
            <w:tcW w:w="1150" w:type="pct"/>
            <w:vAlign w:val="center"/>
          </w:tcPr>
          <w:p w14:paraId="637D316D" w14:textId="3D838531" w:rsidR="00106A1A" w:rsidRPr="00AD0ADE" w:rsidRDefault="00106A1A" w:rsidP="00106A1A">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Piattaforma di approvvigionamento digitale in uso</w:t>
            </w:r>
          </w:p>
        </w:tc>
      </w:tr>
      <w:tr w:rsidR="00001D77" w:rsidRPr="00023F3C" w14:paraId="4EADCB71" w14:textId="77777777" w:rsidTr="009B30BC">
        <w:trPr>
          <w:trHeight w:val="1130"/>
        </w:trPr>
        <w:tc>
          <w:tcPr>
            <w:tcW w:w="310" w:type="pct"/>
            <w:shd w:val="clear" w:color="auto" w:fill="auto"/>
            <w:vAlign w:val="center"/>
          </w:tcPr>
          <w:p w14:paraId="6AEF506A" w14:textId="7C629E24" w:rsidR="00001D77" w:rsidRDefault="00001D77"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79ECD88F" w14:textId="64C84A04" w:rsidR="00001D77" w:rsidRPr="001A50CC" w:rsidRDefault="00617316" w:rsidP="00106A1A">
            <w:pPr>
              <w:spacing w:after="0" w:line="240" w:lineRule="auto"/>
              <w:jc w:val="both"/>
              <w:rPr>
                <w:rFonts w:ascii="Garamond" w:eastAsia="Times New Roman" w:hAnsi="Garamond" w:cs="Times New Roman"/>
                <w:lang w:eastAsia="it-IT"/>
              </w:rPr>
            </w:pPr>
            <w:r w:rsidRPr="00617316">
              <w:rPr>
                <w:rFonts w:ascii="Garamond" w:eastAsia="Times New Roman" w:hAnsi="Garamond" w:cs="Times New Roman"/>
                <w:lang w:eastAsia="it-IT"/>
              </w:rPr>
              <w:t>Nel caso in cui la Stazione Appaltante abbia disposto una rettifica alla documentazione di gara la stessa è stata pubblicata in modo conforme alla normativa vigente?</w:t>
            </w:r>
          </w:p>
        </w:tc>
        <w:tc>
          <w:tcPr>
            <w:tcW w:w="129" w:type="pct"/>
            <w:shd w:val="clear" w:color="auto" w:fill="auto"/>
            <w:vAlign w:val="center"/>
          </w:tcPr>
          <w:p w14:paraId="0E3CCF14" w14:textId="77777777" w:rsidR="00001D77" w:rsidRPr="00023F3C" w:rsidRDefault="00001D77" w:rsidP="00106A1A">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DE0DFBF" w14:textId="77777777" w:rsidR="00001D77" w:rsidRPr="00023F3C" w:rsidRDefault="00001D77" w:rsidP="00106A1A">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6F4860B" w14:textId="77777777" w:rsidR="00001D77" w:rsidRPr="00023F3C" w:rsidRDefault="00001D77" w:rsidP="00106A1A">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DC71DCD" w14:textId="77777777" w:rsidR="00001D77" w:rsidRPr="00023F3C" w:rsidRDefault="00001D77" w:rsidP="00106A1A">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4ACF1817" w14:textId="77777777" w:rsidR="00001D77" w:rsidRPr="00023F3C" w:rsidRDefault="00001D77" w:rsidP="00106A1A">
            <w:pPr>
              <w:spacing w:after="0" w:line="240" w:lineRule="auto"/>
              <w:jc w:val="both"/>
              <w:rPr>
                <w:rFonts w:ascii="Garamond" w:eastAsia="Times New Roman" w:hAnsi="Garamond" w:cs="Times New Roman"/>
                <w:b/>
                <w:bCs/>
                <w:color w:val="000000"/>
                <w:lang w:eastAsia="it-IT"/>
              </w:rPr>
            </w:pPr>
          </w:p>
        </w:tc>
        <w:tc>
          <w:tcPr>
            <w:tcW w:w="399" w:type="pct"/>
            <w:vAlign w:val="center"/>
          </w:tcPr>
          <w:p w14:paraId="05DC034D" w14:textId="77777777" w:rsidR="00001D77" w:rsidRPr="00AD0ADE" w:rsidRDefault="00001D77" w:rsidP="00106A1A">
            <w:pPr>
              <w:spacing w:after="0" w:line="240" w:lineRule="auto"/>
              <w:jc w:val="both"/>
              <w:rPr>
                <w:rFonts w:ascii="Garamond" w:eastAsia="Times New Roman" w:hAnsi="Garamond" w:cs="Times New Roman"/>
                <w:color w:val="000000"/>
                <w:lang w:eastAsia="it-IT"/>
              </w:rPr>
            </w:pPr>
          </w:p>
        </w:tc>
        <w:tc>
          <w:tcPr>
            <w:tcW w:w="1150" w:type="pct"/>
            <w:vAlign w:val="center"/>
          </w:tcPr>
          <w:p w14:paraId="64774563" w14:textId="468C4ACE" w:rsidR="00001D77" w:rsidRPr="00617316" w:rsidRDefault="00617316" w:rsidP="00106A1A">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D</w:t>
            </w:r>
            <w:r>
              <w:rPr>
                <w:rFonts w:ascii="Garamond" w:eastAsia="Times New Roman" w:hAnsi="Garamond" w:cs="Times New Roman"/>
                <w:color w:val="000000"/>
                <w:lang w:eastAsia="it-IT"/>
              </w:rPr>
              <w:t>ocumentazione di gara</w:t>
            </w:r>
            <w:r w:rsidRPr="004650C2">
              <w:rPr>
                <w:rFonts w:ascii="Garamond" w:eastAsia="Times New Roman" w:hAnsi="Garamond" w:cs="Times New Roman"/>
                <w:color w:val="000000"/>
                <w:lang w:eastAsia="it-IT"/>
              </w:rPr>
              <w:t xml:space="preserve"> </w:t>
            </w:r>
          </w:p>
        </w:tc>
      </w:tr>
      <w:tr w:rsidR="001C62D1" w:rsidRPr="00023F3C" w14:paraId="2BC3A210" w14:textId="77777777" w:rsidTr="00241724">
        <w:trPr>
          <w:trHeight w:val="834"/>
        </w:trPr>
        <w:tc>
          <w:tcPr>
            <w:tcW w:w="310" w:type="pct"/>
            <w:shd w:val="clear" w:color="auto" w:fill="B4C6E7" w:themeFill="accent1" w:themeFillTint="66"/>
            <w:vAlign w:val="center"/>
          </w:tcPr>
          <w:p w14:paraId="7DCC2F53" w14:textId="694B36B7" w:rsidR="001C62D1" w:rsidRPr="001C62D1" w:rsidRDefault="001C62D1" w:rsidP="001C62D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E</w:t>
            </w:r>
          </w:p>
        </w:tc>
        <w:tc>
          <w:tcPr>
            <w:tcW w:w="4690" w:type="pct"/>
            <w:gridSpan w:val="8"/>
            <w:shd w:val="clear" w:color="auto" w:fill="B4C6E7" w:themeFill="accent1" w:themeFillTint="66"/>
            <w:vAlign w:val="center"/>
          </w:tcPr>
          <w:p w14:paraId="7B594BF3" w14:textId="347E6B7C" w:rsidR="001C62D1" w:rsidRPr="001C62D1" w:rsidRDefault="001C62D1" w:rsidP="001C62D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La documentazione di gara</w:t>
            </w:r>
          </w:p>
        </w:tc>
      </w:tr>
      <w:tr w:rsidR="0014566E" w:rsidRPr="00023F3C" w14:paraId="4132731B" w14:textId="77777777" w:rsidTr="009B30BC">
        <w:trPr>
          <w:trHeight w:val="1417"/>
        </w:trPr>
        <w:tc>
          <w:tcPr>
            <w:tcW w:w="310" w:type="pct"/>
            <w:shd w:val="clear" w:color="auto" w:fill="auto"/>
            <w:vAlign w:val="center"/>
          </w:tcPr>
          <w:p w14:paraId="2DB3BE3F" w14:textId="0DFB0D8C" w:rsidR="0014566E" w:rsidRDefault="0014566E"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639645A2" w14:textId="1CB3E4B7" w:rsidR="0014566E" w:rsidRDefault="0014566E" w:rsidP="0014566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decisione di contrarre, </w:t>
            </w:r>
            <w:r w:rsidR="008C4FB2">
              <w:rPr>
                <w:rFonts w:ascii="Garamond" w:eastAsia="Times New Roman" w:hAnsi="Garamond" w:cs="Times New Roman"/>
                <w:color w:val="000000"/>
                <w:lang w:eastAsia="it-IT"/>
              </w:rPr>
              <w:t>Lettera d’invito</w:t>
            </w:r>
            <w:r w:rsidRPr="00023F3C">
              <w:rPr>
                <w:rFonts w:ascii="Garamond" w:eastAsia="Times New Roman" w:hAnsi="Garamond" w:cs="Times New Roman"/>
                <w:color w:val="000000"/>
                <w:lang w:eastAsia="it-IT"/>
              </w:rPr>
              <w:t xml:space="preserve">, disciplinare/capitolato/ecc.) riporta il riferimento esplicito al finanziamento da parte dell’Unione europea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29" w:type="pct"/>
            <w:shd w:val="clear" w:color="auto" w:fill="auto"/>
            <w:vAlign w:val="center"/>
          </w:tcPr>
          <w:p w14:paraId="16FA5463" w14:textId="77777777" w:rsidR="0014566E" w:rsidRPr="00023F3C" w:rsidRDefault="0014566E" w:rsidP="0014566E">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C840919" w14:textId="77777777" w:rsidR="0014566E" w:rsidRPr="00023F3C" w:rsidRDefault="0014566E" w:rsidP="0014566E">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05DC13A" w14:textId="77777777" w:rsidR="0014566E" w:rsidRPr="00023F3C" w:rsidRDefault="0014566E" w:rsidP="0014566E">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7CA89EF" w14:textId="77777777" w:rsidR="0014566E" w:rsidRPr="00023F3C" w:rsidRDefault="0014566E" w:rsidP="0014566E">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301A9B0C" w14:textId="77777777" w:rsidR="0014566E" w:rsidRPr="00023F3C" w:rsidRDefault="0014566E" w:rsidP="0014566E">
            <w:pPr>
              <w:spacing w:after="0" w:line="240" w:lineRule="auto"/>
              <w:jc w:val="both"/>
              <w:rPr>
                <w:rFonts w:ascii="Garamond" w:eastAsia="Times New Roman" w:hAnsi="Garamond" w:cs="Times New Roman"/>
                <w:b/>
                <w:bCs/>
                <w:color w:val="000000"/>
                <w:lang w:eastAsia="it-IT"/>
              </w:rPr>
            </w:pPr>
          </w:p>
        </w:tc>
        <w:tc>
          <w:tcPr>
            <w:tcW w:w="399" w:type="pct"/>
            <w:vAlign w:val="center"/>
          </w:tcPr>
          <w:p w14:paraId="07BAF3B4" w14:textId="77777777" w:rsidR="0014566E" w:rsidRPr="00AD0ADE" w:rsidRDefault="0014566E" w:rsidP="0014566E">
            <w:pPr>
              <w:spacing w:after="0" w:line="240" w:lineRule="auto"/>
              <w:jc w:val="both"/>
              <w:rPr>
                <w:rFonts w:ascii="Garamond" w:eastAsia="Times New Roman" w:hAnsi="Garamond" w:cs="Times New Roman"/>
                <w:color w:val="000000"/>
                <w:lang w:eastAsia="it-IT"/>
              </w:rPr>
            </w:pPr>
          </w:p>
        </w:tc>
        <w:tc>
          <w:tcPr>
            <w:tcW w:w="1150" w:type="pct"/>
            <w:vAlign w:val="center"/>
          </w:tcPr>
          <w:p w14:paraId="7A5651A1" w14:textId="77777777" w:rsidR="0014566E" w:rsidRPr="004650C2" w:rsidRDefault="0014566E" w:rsidP="0014566E">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xml:space="preserve">• Decisione di contrarre </w:t>
            </w:r>
          </w:p>
          <w:p w14:paraId="5C868273" w14:textId="61417790" w:rsidR="0014566E" w:rsidRPr="004650C2" w:rsidRDefault="0014566E" w:rsidP="0014566E">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xml:space="preserve">• </w:t>
            </w:r>
            <w:r w:rsidR="008C4FB2">
              <w:rPr>
                <w:rFonts w:ascii="Garamond" w:eastAsia="Times New Roman" w:hAnsi="Garamond" w:cs="Times New Roman"/>
                <w:color w:val="000000"/>
                <w:lang w:eastAsia="it-IT"/>
              </w:rPr>
              <w:t>Lettera d’invito</w:t>
            </w:r>
            <w:r w:rsidRPr="004650C2">
              <w:rPr>
                <w:rFonts w:ascii="Garamond" w:eastAsia="Times New Roman" w:hAnsi="Garamond" w:cs="Times New Roman"/>
                <w:color w:val="000000"/>
                <w:lang w:eastAsia="it-IT"/>
              </w:rPr>
              <w:t xml:space="preserve"> </w:t>
            </w:r>
          </w:p>
          <w:p w14:paraId="2F476473" w14:textId="77777777" w:rsidR="0014566E" w:rsidRPr="004650C2" w:rsidRDefault="0014566E" w:rsidP="0014566E">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Disciplinare</w:t>
            </w:r>
          </w:p>
          <w:p w14:paraId="60E54E1E" w14:textId="77777777" w:rsidR="0014566E" w:rsidRPr="004650C2" w:rsidRDefault="0014566E" w:rsidP="0014566E">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Capitolato</w:t>
            </w:r>
          </w:p>
          <w:p w14:paraId="2A23F9CA" w14:textId="57F2B388" w:rsidR="0014566E" w:rsidRPr="00AD0ADE" w:rsidRDefault="0014566E" w:rsidP="0014566E">
            <w:pPr>
              <w:spacing w:after="0" w:line="240" w:lineRule="auto"/>
              <w:jc w:val="both"/>
              <w:rPr>
                <w:rFonts w:ascii="Garamond" w:eastAsia="Times New Roman" w:hAnsi="Garamond" w:cs="Times New Roman"/>
                <w:color w:val="000000"/>
                <w:lang w:eastAsia="it-IT"/>
              </w:rPr>
            </w:pPr>
            <w:r w:rsidRPr="004650C2">
              <w:rPr>
                <w:rFonts w:ascii="Garamond" w:eastAsia="Times New Roman" w:hAnsi="Garamond" w:cs="Times New Roman"/>
                <w:color w:val="000000"/>
                <w:lang w:eastAsia="it-IT"/>
              </w:rPr>
              <w:t>• Altro</w:t>
            </w:r>
          </w:p>
        </w:tc>
      </w:tr>
      <w:tr w:rsidR="00700BC6" w:rsidRPr="00023F3C" w14:paraId="4054E1BD" w14:textId="77777777" w:rsidTr="009B30BC">
        <w:trPr>
          <w:trHeight w:val="1417"/>
        </w:trPr>
        <w:tc>
          <w:tcPr>
            <w:tcW w:w="310" w:type="pct"/>
            <w:shd w:val="clear" w:color="auto" w:fill="auto"/>
            <w:vAlign w:val="center"/>
          </w:tcPr>
          <w:p w14:paraId="5ED878FB" w14:textId="4EF7CB94" w:rsidR="00700BC6" w:rsidRDefault="00700BC6"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31A611CC" w14:textId="15B38C85" w:rsidR="00700BC6" w:rsidRPr="00023F3C" w:rsidRDefault="00700BC6" w:rsidP="00700B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29" w:type="pct"/>
            <w:shd w:val="clear" w:color="auto" w:fill="auto"/>
            <w:vAlign w:val="center"/>
          </w:tcPr>
          <w:p w14:paraId="4B058611"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DF5148A"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E21CE39"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1F11D3F"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9FBF118"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399" w:type="pct"/>
          </w:tcPr>
          <w:p w14:paraId="42A69908"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7D764133" w14:textId="76D774BE"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700BC6" w:rsidRPr="00023F3C" w14:paraId="29708556" w14:textId="77777777" w:rsidTr="009B30BC">
        <w:trPr>
          <w:trHeight w:val="1024"/>
        </w:trPr>
        <w:tc>
          <w:tcPr>
            <w:tcW w:w="310" w:type="pct"/>
            <w:shd w:val="clear" w:color="auto" w:fill="auto"/>
            <w:vAlign w:val="center"/>
          </w:tcPr>
          <w:p w14:paraId="1364EC33" w14:textId="30C79A1C" w:rsidR="00700BC6" w:rsidRPr="00023F3C" w:rsidRDefault="00700BC6"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3741CD78" w14:textId="77777777" w:rsidR="00700BC6" w:rsidRPr="00ED7D15" w:rsidRDefault="00700BC6" w:rsidP="00700BC6">
            <w:pPr>
              <w:spacing w:after="0" w:line="240" w:lineRule="auto"/>
              <w:jc w:val="both"/>
              <w:rPr>
                <w:rFonts w:ascii="Garamond" w:hAnsi="Garamond"/>
              </w:rPr>
            </w:pPr>
            <w:r w:rsidRPr="00ED7D15">
              <w:rPr>
                <w:rFonts w:ascii="Garamond" w:hAnsi="Garamond"/>
              </w:rPr>
              <w:t>Nella Lettera di invito sono specificati:</w:t>
            </w:r>
          </w:p>
          <w:p w14:paraId="7274466A" w14:textId="54BDE24E" w:rsidR="00700BC6" w:rsidRPr="003D3C66" w:rsidRDefault="00700BC6" w:rsidP="003D3C66">
            <w:pPr>
              <w:pStyle w:val="ListParagraph"/>
              <w:numPr>
                <w:ilvl w:val="0"/>
                <w:numId w:val="32"/>
              </w:numPr>
              <w:spacing w:after="0" w:line="240" w:lineRule="auto"/>
              <w:jc w:val="both"/>
              <w:rPr>
                <w:rFonts w:ascii="Garamond" w:hAnsi="Garamond"/>
              </w:rPr>
            </w:pPr>
            <w:r w:rsidRPr="003D3C66">
              <w:rPr>
                <w:rFonts w:ascii="Garamond" w:hAnsi="Garamond"/>
              </w:rPr>
              <w:t>gli elementi essenziali dell’affidamento?</w:t>
            </w:r>
          </w:p>
          <w:p w14:paraId="71BE37D5" w14:textId="5E089128" w:rsidR="00700BC6" w:rsidRPr="003D3C66" w:rsidRDefault="00700BC6" w:rsidP="003D3C66">
            <w:pPr>
              <w:pStyle w:val="ListParagraph"/>
              <w:numPr>
                <w:ilvl w:val="0"/>
                <w:numId w:val="32"/>
              </w:numPr>
              <w:spacing w:after="0" w:line="240" w:lineRule="auto"/>
              <w:jc w:val="both"/>
              <w:rPr>
                <w:rFonts w:ascii="Garamond" w:hAnsi="Garamond"/>
              </w:rPr>
            </w:pPr>
            <w:r w:rsidRPr="003D3C66">
              <w:rPr>
                <w:rFonts w:ascii="Garamond" w:hAnsi="Garamond"/>
              </w:rPr>
              <w:t>i criteri di selezione degli operatori economici ai sensi dell’art. 100 del D</w:t>
            </w:r>
            <w:r w:rsidR="004A1C5C" w:rsidRPr="003D3C66">
              <w:rPr>
                <w:rFonts w:ascii="Garamond" w:hAnsi="Garamond"/>
              </w:rPr>
              <w:t>. L</w:t>
            </w:r>
            <w:r w:rsidRPr="003D3C66">
              <w:rPr>
                <w:rFonts w:ascii="Garamond" w:hAnsi="Garamond"/>
              </w:rPr>
              <w:t>gs. 36/2023 (requisiti d’idoneità professionale, requisiti di capacità economica e finanziaria e requisiti di capacità tecnico professionale)?</w:t>
            </w:r>
          </w:p>
          <w:p w14:paraId="2970D2CD" w14:textId="28750E33" w:rsidR="00700BC6" w:rsidRPr="003D3C66" w:rsidRDefault="00700BC6" w:rsidP="003D3C66">
            <w:pPr>
              <w:pStyle w:val="ListParagraph"/>
              <w:numPr>
                <w:ilvl w:val="0"/>
                <w:numId w:val="32"/>
              </w:numPr>
              <w:spacing w:after="0" w:line="240" w:lineRule="auto"/>
              <w:jc w:val="both"/>
              <w:rPr>
                <w:rFonts w:ascii="Garamond" w:hAnsi="Garamond"/>
              </w:rPr>
            </w:pPr>
            <w:r w:rsidRPr="003D3C66">
              <w:rPr>
                <w:rFonts w:ascii="Garamond" w:hAnsi="Garamond"/>
              </w:rPr>
              <w:t xml:space="preserve">il criterio di aggiudicazione (art. 108 </w:t>
            </w:r>
            <w:r w:rsidR="004A1C5C" w:rsidRPr="003D3C66">
              <w:rPr>
                <w:rFonts w:ascii="Garamond" w:hAnsi="Garamond"/>
              </w:rPr>
              <w:t xml:space="preserve">del </w:t>
            </w:r>
            <w:r w:rsidRPr="003D3C66">
              <w:rPr>
                <w:rFonts w:ascii="Garamond" w:hAnsi="Garamond"/>
              </w:rPr>
              <w:t>D.</w:t>
            </w:r>
            <w:r w:rsidR="007067F1" w:rsidRPr="003D3C66">
              <w:rPr>
                <w:rFonts w:ascii="Garamond" w:hAnsi="Garamond"/>
              </w:rPr>
              <w:t xml:space="preserve"> </w:t>
            </w:r>
            <w:r w:rsidRPr="003D3C66">
              <w:rPr>
                <w:rFonts w:ascii="Garamond" w:hAnsi="Garamond"/>
              </w:rPr>
              <w:t>Lgs. 36/2023 offerta economicamente più vantaggiosa – minor prezzo)?</w:t>
            </w:r>
          </w:p>
          <w:p w14:paraId="6853D604" w14:textId="0A49CCB7" w:rsidR="00700BC6" w:rsidRPr="003D3C66" w:rsidRDefault="00700BC6" w:rsidP="003D3C66">
            <w:pPr>
              <w:pStyle w:val="ListParagraph"/>
              <w:numPr>
                <w:ilvl w:val="0"/>
                <w:numId w:val="32"/>
              </w:numPr>
              <w:spacing w:after="0" w:line="240" w:lineRule="auto"/>
              <w:jc w:val="both"/>
              <w:rPr>
                <w:rFonts w:ascii="Garamond" w:hAnsi="Garamond"/>
              </w:rPr>
            </w:pPr>
            <w:r w:rsidRPr="003D3C66">
              <w:rPr>
                <w:rFonts w:ascii="Garamond" w:hAnsi="Garamond"/>
              </w:rPr>
              <w:lastRenderedPageBreak/>
              <w:t>criteri premiali che prevedano un maggior punteggio da attribuire alle imprese per l'adozione di politiche tese al raggiungimento della parità di genere comprovata dal possesso della certificazione della parità di genere di cui all'articolo 46-</w:t>
            </w:r>
            <w:r w:rsidRPr="003D3C66">
              <w:rPr>
                <w:rFonts w:ascii="Garamond" w:hAnsi="Garamond"/>
                <w:i/>
                <w:iCs/>
              </w:rPr>
              <w:t>bis</w:t>
            </w:r>
            <w:r w:rsidRPr="003D3C66">
              <w:rPr>
                <w:rFonts w:ascii="Garamond" w:hAnsi="Garamond"/>
              </w:rPr>
              <w:t xml:space="preserve"> del codice delle pari opportunità tra uomo e donna, di cui al decreto legislativo 11 aprile 2006, n. 198 (art. 108, comma 7 del D.</w:t>
            </w:r>
            <w:r w:rsidR="0028306A" w:rsidRPr="003D3C66">
              <w:rPr>
                <w:rFonts w:ascii="Garamond" w:hAnsi="Garamond"/>
              </w:rPr>
              <w:t xml:space="preserve"> </w:t>
            </w:r>
            <w:r w:rsidRPr="003D3C66">
              <w:rPr>
                <w:rFonts w:ascii="Garamond" w:hAnsi="Garamond"/>
              </w:rPr>
              <w:t>Lgs</w:t>
            </w:r>
            <w:r w:rsidR="0028306A" w:rsidRPr="003D3C66">
              <w:rPr>
                <w:rFonts w:ascii="Garamond" w:hAnsi="Garamond"/>
              </w:rPr>
              <w:t>.</w:t>
            </w:r>
            <w:r w:rsidRPr="003D3C66">
              <w:rPr>
                <w:rFonts w:ascii="Garamond" w:hAnsi="Garamond"/>
              </w:rPr>
              <w:t xml:space="preserve"> 36/2023)?</w:t>
            </w:r>
          </w:p>
          <w:p w14:paraId="21C62085" w14:textId="58C4911A" w:rsidR="00700BC6" w:rsidRPr="003D3C66" w:rsidRDefault="00700BC6" w:rsidP="003D3C66">
            <w:pPr>
              <w:pStyle w:val="ListParagraph"/>
              <w:numPr>
                <w:ilvl w:val="0"/>
                <w:numId w:val="32"/>
              </w:numPr>
              <w:spacing w:after="0" w:line="240" w:lineRule="auto"/>
              <w:jc w:val="both"/>
              <w:rPr>
                <w:rFonts w:ascii="Garamond" w:hAnsi="Garamond"/>
              </w:rPr>
            </w:pPr>
            <w:r w:rsidRPr="003D3C66">
              <w:rPr>
                <w:rFonts w:ascii="Garamond" w:hAnsi="Garamond"/>
              </w:rPr>
              <w:t>la griglia di valutazione al fine di accertare i criteri qualitativi?</w:t>
            </w:r>
          </w:p>
        </w:tc>
        <w:tc>
          <w:tcPr>
            <w:tcW w:w="129" w:type="pct"/>
            <w:shd w:val="clear" w:color="auto" w:fill="auto"/>
            <w:vAlign w:val="center"/>
          </w:tcPr>
          <w:p w14:paraId="48DA4670"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8CD1266"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E47B97B"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0A38936"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C05E1F3" w14:textId="77777777" w:rsidR="00AD3F22" w:rsidRPr="00AD3F22" w:rsidRDefault="00AD3F22" w:rsidP="00AD3F22">
            <w:pPr>
              <w:spacing w:after="0" w:line="240" w:lineRule="auto"/>
              <w:jc w:val="both"/>
              <w:rPr>
                <w:rFonts w:ascii="Garamond" w:eastAsia="Times New Roman" w:hAnsi="Garamond" w:cs="Times New Roman"/>
                <w:color w:val="2F5496" w:themeColor="accent1" w:themeShade="BF"/>
                <w:lang w:eastAsia="it-IT"/>
              </w:rPr>
            </w:pPr>
            <w:r w:rsidRPr="00AD3F22">
              <w:rPr>
                <w:rFonts w:ascii="Garamond" w:eastAsia="Times New Roman" w:hAnsi="Garamond" w:cs="Times New Roman"/>
                <w:color w:val="2F5496" w:themeColor="accent1" w:themeShade="BF"/>
                <w:lang w:eastAsia="it-IT"/>
              </w:rPr>
              <w:t xml:space="preserve">N.B. A decorrere da 31 dicembre 2024, il d. lgs. 209/2024 ha introdotto una modifica rispetto alla definizione dei requisiti di capacità economico finanziaria e tecnico organizzativa , prevedendo la </w:t>
            </w:r>
            <w:r w:rsidRPr="00AD3F22">
              <w:rPr>
                <w:rFonts w:ascii="Garamond" w:eastAsia="Times New Roman" w:hAnsi="Garamond" w:cs="Times New Roman"/>
                <w:color w:val="2F5496" w:themeColor="accent1" w:themeShade="BF"/>
                <w:lang w:eastAsia="it-IT"/>
              </w:rPr>
              <w:lastRenderedPageBreak/>
              <w:t xml:space="preserve">possibilità di richiedere quale requisito di capacità economica e finanziaria un fatturato globale non superiore al doppio del valore stimato dell’appalto, maturato nel triennio precedente maturato nei migliori tre anni degli ultimi cinque anni precedenti a quello di indizione della procedura e quale requisito di capacità tecnica e professionale di aver eseguito nel precedente triennio negli ultimi dieci </w:t>
            </w:r>
          </w:p>
          <w:p w14:paraId="2CD3BB41" w14:textId="324EDB3F" w:rsidR="00700BC6" w:rsidRPr="00AD3F22" w:rsidRDefault="00AD3F22" w:rsidP="00700BC6">
            <w:pPr>
              <w:spacing w:after="0" w:line="240" w:lineRule="auto"/>
              <w:jc w:val="both"/>
              <w:rPr>
                <w:rFonts w:ascii="Garamond" w:eastAsia="Times New Roman" w:hAnsi="Garamond" w:cs="Times New Roman"/>
                <w:color w:val="2F5496" w:themeColor="accent1" w:themeShade="BF"/>
                <w:lang w:eastAsia="it-IT"/>
              </w:rPr>
            </w:pPr>
            <w:r w:rsidRPr="00AD3F22">
              <w:rPr>
                <w:rFonts w:ascii="Garamond" w:eastAsia="Times New Roman" w:hAnsi="Garamond" w:cs="Times New Roman"/>
                <w:color w:val="2F5496" w:themeColor="accent1" w:themeShade="BF"/>
                <w:lang w:eastAsia="it-IT"/>
              </w:rPr>
              <w:t xml:space="preserve">anni dalla data di indizione della procedura di gara contratti analoghi a </w:t>
            </w:r>
            <w:r w:rsidRPr="00AD3F22">
              <w:rPr>
                <w:rFonts w:ascii="Garamond" w:eastAsia="Times New Roman" w:hAnsi="Garamond" w:cs="Times New Roman"/>
                <w:color w:val="2F5496" w:themeColor="accent1" w:themeShade="BF"/>
                <w:lang w:eastAsia="it-IT"/>
              </w:rPr>
              <w:lastRenderedPageBreak/>
              <w:t>quello in affidamento anche a favore di soggetti privati.</w:t>
            </w:r>
          </w:p>
        </w:tc>
        <w:tc>
          <w:tcPr>
            <w:tcW w:w="399" w:type="pct"/>
          </w:tcPr>
          <w:p w14:paraId="57FA34AA" w14:textId="77777777" w:rsidR="00700BC6"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51C36FE6" w14:textId="52A67C45" w:rsidR="00700BC6" w:rsidRDefault="00700BC6" w:rsidP="00700BC6">
            <w:pPr>
              <w:spacing w:after="0" w:line="240" w:lineRule="auto"/>
              <w:jc w:val="both"/>
              <w:rPr>
                <w:rFonts w:ascii="Garamond" w:eastAsia="Times New Roman" w:hAnsi="Garamond" w:cs="Times New Roman"/>
                <w:color w:val="000000"/>
                <w:lang w:eastAsia="it-IT"/>
              </w:rPr>
            </w:pPr>
          </w:p>
          <w:p w14:paraId="51A8A8BD" w14:textId="1422DDFF"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700BC6" w:rsidRPr="00023F3C"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C13FF3" w:rsidRPr="00023F3C" w14:paraId="630CAAA9" w14:textId="77777777" w:rsidTr="009B30BC">
        <w:trPr>
          <w:trHeight w:val="1230"/>
        </w:trPr>
        <w:tc>
          <w:tcPr>
            <w:tcW w:w="310" w:type="pct"/>
            <w:shd w:val="clear" w:color="auto" w:fill="auto"/>
            <w:vAlign w:val="center"/>
          </w:tcPr>
          <w:p w14:paraId="3E573280" w14:textId="3CE63F1A" w:rsidR="00C13FF3" w:rsidRDefault="00241724"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464" w:type="pct"/>
            <w:shd w:val="clear" w:color="auto" w:fill="auto"/>
            <w:vAlign w:val="center"/>
          </w:tcPr>
          <w:p w14:paraId="32392E12" w14:textId="1DBBAA1E" w:rsidR="00C13FF3" w:rsidRDefault="00C13FF3" w:rsidP="00C13FF3">
            <w:pPr>
              <w:spacing w:after="0" w:line="240" w:lineRule="auto"/>
              <w:jc w:val="both"/>
              <w:rPr>
                <w:rFonts w:ascii="Garamond" w:hAnsi="Garamond"/>
              </w:rPr>
            </w:pPr>
            <w:r>
              <w:rPr>
                <w:rFonts w:ascii="Garamond" w:hAnsi="Garamond"/>
              </w:rPr>
              <w:t>La de</w:t>
            </w:r>
            <w:r w:rsidR="00A85ABE">
              <w:rPr>
                <w:rFonts w:ascii="Garamond" w:hAnsi="Garamond"/>
              </w:rPr>
              <w:t>cisione di contrarre</w:t>
            </w:r>
            <w:r>
              <w:rPr>
                <w:rFonts w:ascii="Garamond" w:hAnsi="Garamond"/>
              </w:rPr>
              <w:t xml:space="preserve"> contiene la motivazione, ai sensi di quanto previsto dall’art. 58 del D. Lgs. 36/2023, nel caso in cui non si sia suddiviso l’appalto in lotti?</w:t>
            </w:r>
          </w:p>
        </w:tc>
        <w:tc>
          <w:tcPr>
            <w:tcW w:w="129" w:type="pct"/>
            <w:shd w:val="clear" w:color="auto" w:fill="auto"/>
            <w:vAlign w:val="center"/>
          </w:tcPr>
          <w:p w14:paraId="56A92CA6" w14:textId="77777777" w:rsidR="00C13FF3" w:rsidRPr="00023F3C" w:rsidRDefault="00C13FF3" w:rsidP="00C13FF3">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322BA6A" w14:textId="77777777" w:rsidR="00C13FF3" w:rsidRPr="00023F3C" w:rsidRDefault="00C13FF3" w:rsidP="00C13FF3">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65653BE" w14:textId="77777777" w:rsidR="00C13FF3" w:rsidRPr="00023F3C" w:rsidRDefault="00C13FF3" w:rsidP="00C13FF3">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8D774B1" w14:textId="77777777" w:rsidR="00C13FF3" w:rsidRPr="00023F3C" w:rsidRDefault="00C13FF3" w:rsidP="00C13FF3">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CA48DE2" w14:textId="3DE1708D" w:rsidR="00C13FF3" w:rsidRPr="00023F3C" w:rsidRDefault="00C13FF3" w:rsidP="00C13FF3">
            <w:pPr>
              <w:spacing w:after="0" w:line="240" w:lineRule="auto"/>
              <w:jc w:val="both"/>
              <w:rPr>
                <w:rFonts w:ascii="Garamond" w:eastAsia="Times New Roman" w:hAnsi="Garamond" w:cs="Times New Roman"/>
                <w:b/>
                <w:bCs/>
                <w:color w:val="000000"/>
                <w:lang w:eastAsia="it-IT"/>
              </w:rPr>
            </w:pPr>
          </w:p>
        </w:tc>
        <w:tc>
          <w:tcPr>
            <w:tcW w:w="399" w:type="pct"/>
            <w:shd w:val="clear" w:color="auto" w:fill="auto"/>
          </w:tcPr>
          <w:p w14:paraId="1FE3D9F1" w14:textId="77777777" w:rsidR="00C13FF3" w:rsidRPr="00AD0ADE" w:rsidRDefault="00C13FF3" w:rsidP="00C13FF3">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32CA6EE" w14:textId="46CA4384" w:rsidR="00C13FF3" w:rsidRPr="00AD0ADE" w:rsidRDefault="00C13FF3" w:rsidP="00C13FF3">
            <w:pPr>
              <w:spacing w:after="0" w:line="240" w:lineRule="auto"/>
              <w:jc w:val="both"/>
              <w:rPr>
                <w:rFonts w:ascii="Garamond" w:eastAsia="Times New Roman" w:hAnsi="Garamond" w:cs="Times New Roman"/>
                <w:color w:val="000000"/>
                <w:lang w:eastAsia="it-IT"/>
              </w:rPr>
            </w:pPr>
            <w:r w:rsidRPr="0005006B">
              <w:rPr>
                <w:rFonts w:ascii="Garamond" w:eastAsia="Times New Roman" w:hAnsi="Garamond" w:cs="Times New Roman"/>
                <w:color w:val="000000"/>
                <w:lang w:eastAsia="it-IT"/>
              </w:rPr>
              <w:t xml:space="preserve">• </w:t>
            </w:r>
            <w:r w:rsidR="00A85ABE">
              <w:rPr>
                <w:rFonts w:ascii="Garamond" w:eastAsia="Times New Roman" w:hAnsi="Garamond" w:cs="Times New Roman"/>
                <w:color w:val="000000"/>
                <w:lang w:eastAsia="it-IT"/>
              </w:rPr>
              <w:t>Decisione di contrarre</w:t>
            </w:r>
          </w:p>
        </w:tc>
      </w:tr>
      <w:tr w:rsidR="00700BC6" w:rsidRPr="00023F3C" w14:paraId="1804F279" w14:textId="77777777" w:rsidTr="009B30BC">
        <w:trPr>
          <w:trHeight w:val="1120"/>
        </w:trPr>
        <w:tc>
          <w:tcPr>
            <w:tcW w:w="310" w:type="pct"/>
            <w:shd w:val="clear" w:color="auto" w:fill="auto"/>
            <w:vAlign w:val="center"/>
          </w:tcPr>
          <w:p w14:paraId="64EA4D10" w14:textId="38285AD8" w:rsidR="00700BC6" w:rsidRDefault="00241724"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0B9B5EA5" w14:textId="0F76A6AD" w:rsidR="00700BC6" w:rsidRDefault="00700BC6" w:rsidP="00700BC6">
            <w:pPr>
              <w:spacing w:after="0" w:line="240" w:lineRule="auto"/>
              <w:jc w:val="both"/>
              <w:rPr>
                <w:rFonts w:ascii="Garamond" w:hAnsi="Garamond"/>
              </w:rPr>
            </w:pPr>
            <w:r>
              <w:rPr>
                <w:rFonts w:ascii="Garamond" w:hAnsi="Garamond"/>
              </w:rPr>
              <w:t>Qualora ci siano rischi da interferenza è stato redatto il DUVRI (art. 26 del D</w:t>
            </w:r>
            <w:r w:rsidR="007958CC">
              <w:rPr>
                <w:rFonts w:ascii="Garamond" w:hAnsi="Garamond"/>
              </w:rPr>
              <w:t>. L</w:t>
            </w:r>
            <w:r>
              <w:rPr>
                <w:rFonts w:ascii="Garamond" w:hAnsi="Garamond"/>
              </w:rPr>
              <w:t>gs</w:t>
            </w:r>
            <w:r w:rsidR="007958CC">
              <w:rPr>
                <w:rFonts w:ascii="Garamond" w:hAnsi="Garamond"/>
              </w:rPr>
              <w:t>.</w:t>
            </w:r>
            <w:r>
              <w:rPr>
                <w:rFonts w:ascii="Garamond" w:hAnsi="Garamond"/>
              </w:rPr>
              <w:t xml:space="preserve"> 81/2008)?</w:t>
            </w:r>
          </w:p>
        </w:tc>
        <w:tc>
          <w:tcPr>
            <w:tcW w:w="129" w:type="pct"/>
            <w:shd w:val="clear" w:color="auto" w:fill="auto"/>
            <w:vAlign w:val="center"/>
          </w:tcPr>
          <w:p w14:paraId="628A8EC5"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894098F"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23FA5AA"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EC34832"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4B56D0B"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399" w:type="pct"/>
          </w:tcPr>
          <w:p w14:paraId="1A04D584"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1F2538C2" w14:textId="361335D4"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19636205"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4D9F96E8" w14:textId="03CD6861"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700BC6" w:rsidRPr="00023F3C" w14:paraId="19C184CD" w14:textId="77777777" w:rsidTr="009B30BC">
        <w:trPr>
          <w:trHeight w:val="882"/>
        </w:trPr>
        <w:tc>
          <w:tcPr>
            <w:tcW w:w="310" w:type="pct"/>
            <w:shd w:val="clear" w:color="auto" w:fill="auto"/>
            <w:vAlign w:val="center"/>
          </w:tcPr>
          <w:p w14:paraId="10D6DB29" w14:textId="35C92EF9" w:rsidR="00700BC6" w:rsidRDefault="00241724"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64" w:type="pct"/>
            <w:shd w:val="clear" w:color="auto" w:fill="auto"/>
            <w:vAlign w:val="center"/>
          </w:tcPr>
          <w:p w14:paraId="30B69BCB" w14:textId="6088DE66" w:rsidR="00700BC6" w:rsidRPr="00386EE5" w:rsidRDefault="00700BC6" w:rsidP="00700BC6">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ono state inserite, nei documenti di gara iniziali, delle clausole di revisione dei prezzi previste dall'art</w:t>
            </w:r>
            <w:r w:rsidR="005672FA">
              <w:rPr>
                <w:rFonts w:ascii="Garamond" w:eastAsiaTheme="minorHAnsi" w:hAnsi="Garamond" w:cstheme="minorBidi"/>
                <w:sz w:val="22"/>
                <w:szCs w:val="22"/>
              </w:rPr>
              <w:t>.</w:t>
            </w:r>
            <w:r w:rsidRPr="000F6747">
              <w:rPr>
                <w:rFonts w:ascii="Garamond" w:eastAsiaTheme="minorHAnsi" w:hAnsi="Garamond" w:cstheme="minorBidi"/>
                <w:sz w:val="22"/>
                <w:szCs w:val="22"/>
              </w:rPr>
              <w:t xml:space="preserve"> </w:t>
            </w:r>
            <w:r>
              <w:rPr>
                <w:rFonts w:ascii="Garamond" w:eastAsiaTheme="minorHAnsi" w:hAnsi="Garamond" w:cstheme="minorBidi"/>
                <w:sz w:val="22"/>
                <w:szCs w:val="22"/>
              </w:rPr>
              <w:t>60 del D.</w:t>
            </w:r>
            <w:r w:rsidR="00A85ABE">
              <w:rPr>
                <w:rFonts w:ascii="Garamond" w:eastAsiaTheme="minorHAnsi" w:hAnsi="Garamond" w:cstheme="minorBidi"/>
                <w:sz w:val="22"/>
                <w:szCs w:val="22"/>
              </w:rPr>
              <w:t xml:space="preserve"> </w:t>
            </w:r>
            <w:r>
              <w:rPr>
                <w:rFonts w:ascii="Garamond" w:eastAsiaTheme="minorHAnsi" w:hAnsi="Garamond" w:cstheme="minorBidi"/>
                <w:sz w:val="22"/>
                <w:szCs w:val="22"/>
              </w:rPr>
              <w:t>Lgs</w:t>
            </w:r>
            <w:r w:rsidR="00A85ABE">
              <w:rPr>
                <w:rFonts w:ascii="Garamond" w:eastAsiaTheme="minorHAnsi" w:hAnsi="Garamond" w:cstheme="minorBidi"/>
                <w:sz w:val="22"/>
                <w:szCs w:val="22"/>
              </w:rPr>
              <w:t>.</w:t>
            </w:r>
            <w:r>
              <w:rPr>
                <w:rFonts w:ascii="Garamond" w:eastAsiaTheme="minorHAnsi" w:hAnsi="Garamond" w:cstheme="minorBidi"/>
                <w:sz w:val="22"/>
                <w:szCs w:val="22"/>
              </w:rPr>
              <w:t xml:space="preserve"> 36/2023</w:t>
            </w:r>
            <w:r w:rsidRPr="000F6747">
              <w:rPr>
                <w:rFonts w:ascii="Garamond" w:eastAsiaTheme="minorHAnsi" w:hAnsi="Garamond" w:cstheme="minorBidi"/>
                <w:sz w:val="22"/>
                <w:szCs w:val="22"/>
              </w:rPr>
              <w:t>?</w:t>
            </w:r>
          </w:p>
        </w:tc>
        <w:tc>
          <w:tcPr>
            <w:tcW w:w="129" w:type="pct"/>
            <w:shd w:val="clear" w:color="auto" w:fill="auto"/>
            <w:vAlign w:val="center"/>
          </w:tcPr>
          <w:p w14:paraId="688387FF"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90525E5"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58B7703"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261B078" w14:textId="77777777" w:rsidR="00700BC6" w:rsidRPr="00023F3C" w:rsidRDefault="00700BC6" w:rsidP="00700BC6">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8BBA12A" w14:textId="006CBF4A" w:rsidR="00700BC6" w:rsidRPr="00023F3C" w:rsidRDefault="00855603" w:rsidP="00700BC6">
            <w:pPr>
              <w:spacing w:after="0" w:line="240" w:lineRule="auto"/>
              <w:jc w:val="both"/>
              <w:rPr>
                <w:rFonts w:ascii="Garamond" w:eastAsia="Times New Roman" w:hAnsi="Garamond" w:cs="Times New Roman"/>
                <w:b/>
                <w:bCs/>
                <w:color w:val="000000"/>
                <w:lang w:eastAsia="it-IT"/>
              </w:rPr>
            </w:pPr>
            <w:r w:rsidRPr="00041CB8">
              <w:rPr>
                <w:rFonts w:ascii="Garamond" w:eastAsia="Times New Roman" w:hAnsi="Garamond" w:cs="Times New Roman"/>
                <w:color w:val="2F5496" w:themeColor="accent1" w:themeShade="BF"/>
                <w:lang w:eastAsia="it-IT"/>
              </w:rPr>
              <w:t>N.B.</w:t>
            </w:r>
            <w:r w:rsidRPr="00C42BF5">
              <w:rPr>
                <w:rFonts w:ascii="Garamond" w:eastAsia="Times New Roman" w:hAnsi="Garamond" w:cs="Times New Roman"/>
                <w:color w:val="2F5496" w:themeColor="accent1" w:themeShade="BF"/>
                <w:lang w:eastAsia="it-IT"/>
              </w:rPr>
              <w:t xml:space="preserve"> A partire</w:t>
            </w:r>
            <w:r>
              <w:rPr>
                <w:rFonts w:ascii="Garamond" w:eastAsia="Times New Roman" w:hAnsi="Garamond" w:cs="Times New Roman"/>
                <w:color w:val="2F5496" w:themeColor="accent1" w:themeShade="BF"/>
                <w:lang w:eastAsia="it-IT"/>
              </w:rPr>
              <w:t xml:space="preserve"> dal 31 dicembre 2024, le clausole di revisione dei prezzi sono attivabili, nel caso di contratti di </w:t>
            </w:r>
            <w:r w:rsidR="00247233">
              <w:rPr>
                <w:rFonts w:ascii="Garamond" w:eastAsia="Times New Roman" w:hAnsi="Garamond" w:cs="Times New Roman"/>
                <w:color w:val="2F5496" w:themeColor="accent1" w:themeShade="BF"/>
                <w:lang w:eastAsia="it-IT"/>
              </w:rPr>
              <w:t>servizi e/o forniture</w:t>
            </w:r>
            <w:r>
              <w:rPr>
                <w:rFonts w:ascii="Garamond" w:eastAsia="Times New Roman" w:hAnsi="Garamond" w:cs="Times New Roman"/>
                <w:color w:val="2F5496" w:themeColor="accent1" w:themeShade="BF"/>
                <w:lang w:eastAsia="it-IT"/>
              </w:rPr>
              <w:t xml:space="preserve">, una volta superato il </w:t>
            </w:r>
            <w:r w:rsidR="00247233">
              <w:rPr>
                <w:rFonts w:ascii="Garamond" w:eastAsia="Times New Roman" w:hAnsi="Garamond" w:cs="Times New Roman"/>
                <w:color w:val="2F5496" w:themeColor="accent1" w:themeShade="BF"/>
                <w:lang w:eastAsia="it-IT"/>
              </w:rPr>
              <w:t>5</w:t>
            </w:r>
            <w:r>
              <w:rPr>
                <w:rFonts w:ascii="Garamond" w:eastAsia="Times New Roman" w:hAnsi="Garamond" w:cs="Times New Roman"/>
                <w:color w:val="2F5496" w:themeColor="accent1" w:themeShade="BF"/>
                <w:lang w:eastAsia="it-IT"/>
              </w:rPr>
              <w:t xml:space="preserve">% in aumento o in diminuzione rispetto all’importo complessivo, e </w:t>
            </w:r>
            <w:r>
              <w:rPr>
                <w:rFonts w:ascii="Garamond" w:eastAsia="Times New Roman" w:hAnsi="Garamond" w:cs="Times New Roman"/>
                <w:color w:val="2F5496" w:themeColor="accent1" w:themeShade="BF"/>
                <w:lang w:eastAsia="it-IT"/>
              </w:rPr>
              <w:lastRenderedPageBreak/>
              <w:t xml:space="preserve">operano nella misura del </w:t>
            </w:r>
            <w:r w:rsidR="00247233">
              <w:rPr>
                <w:rFonts w:ascii="Garamond" w:eastAsia="Times New Roman" w:hAnsi="Garamond" w:cs="Times New Roman"/>
                <w:color w:val="2F5496" w:themeColor="accent1" w:themeShade="BF"/>
                <w:lang w:eastAsia="it-IT"/>
              </w:rPr>
              <w:t>8</w:t>
            </w:r>
            <w:r>
              <w:rPr>
                <w:rFonts w:ascii="Garamond" w:eastAsia="Times New Roman" w:hAnsi="Garamond" w:cs="Times New Roman"/>
                <w:color w:val="2F5496" w:themeColor="accent1" w:themeShade="BF"/>
                <w:lang w:eastAsia="it-IT"/>
              </w:rPr>
              <w:t>0% del valore eccedente tale variazione. Inoltre, a partire dalla medesima data, le modalità di applicazione e gli indici disponibili sono disciplinati all’Allegato II.2-bis.</w:t>
            </w:r>
          </w:p>
        </w:tc>
        <w:tc>
          <w:tcPr>
            <w:tcW w:w="399" w:type="pct"/>
          </w:tcPr>
          <w:p w14:paraId="328C1492" w14:textId="77777777" w:rsidR="00700BC6" w:rsidRPr="00AD0ADE" w:rsidRDefault="00700BC6" w:rsidP="00700BC6">
            <w:pPr>
              <w:spacing w:after="0" w:line="240" w:lineRule="auto"/>
              <w:jc w:val="both"/>
              <w:rPr>
                <w:rFonts w:ascii="Garamond" w:eastAsia="Times New Roman" w:hAnsi="Garamond" w:cs="Times New Roman"/>
                <w:color w:val="000000"/>
                <w:lang w:eastAsia="it-IT"/>
              </w:rPr>
            </w:pPr>
          </w:p>
        </w:tc>
        <w:tc>
          <w:tcPr>
            <w:tcW w:w="1150" w:type="pct"/>
            <w:vAlign w:val="center"/>
          </w:tcPr>
          <w:p w14:paraId="5AC0A701" w14:textId="258676E6" w:rsidR="00700BC6"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2BD3AD27"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AA1823" w:rsidRPr="00023F3C" w14:paraId="60642575" w14:textId="77777777" w:rsidTr="009B30BC">
        <w:trPr>
          <w:trHeight w:val="1022"/>
        </w:trPr>
        <w:tc>
          <w:tcPr>
            <w:tcW w:w="310" w:type="pct"/>
            <w:shd w:val="clear" w:color="auto" w:fill="auto"/>
            <w:vAlign w:val="center"/>
          </w:tcPr>
          <w:p w14:paraId="30105F0D" w14:textId="7EF7BDA1" w:rsidR="00700BC6" w:rsidRDefault="00241724" w:rsidP="0024172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64" w:type="pct"/>
            <w:shd w:val="clear" w:color="auto" w:fill="auto"/>
            <w:vAlign w:val="center"/>
          </w:tcPr>
          <w:p w14:paraId="632A30FC" w14:textId="673320C1" w:rsidR="00700BC6" w:rsidRPr="005A4388" w:rsidRDefault="00700BC6" w:rsidP="00700B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 termini indicati nella documentazione di gara rispettano le indicazioni di cui all’art. 92 del </w:t>
            </w:r>
            <w:r>
              <w:rPr>
                <w:rFonts w:ascii="Garamond" w:hAnsi="Garamond"/>
              </w:rPr>
              <w:t>D.</w:t>
            </w:r>
            <w:r w:rsidR="00474F78">
              <w:rPr>
                <w:rFonts w:ascii="Garamond" w:hAnsi="Garamond"/>
              </w:rPr>
              <w:t xml:space="preserve"> L</w:t>
            </w:r>
            <w:r w:rsidRPr="000F6747">
              <w:rPr>
                <w:rFonts w:ascii="Garamond" w:hAnsi="Garamond"/>
              </w:rPr>
              <w:t xml:space="preserve">gs. </w:t>
            </w:r>
            <w:r>
              <w:rPr>
                <w:rFonts w:ascii="Garamond" w:hAnsi="Garamond"/>
              </w:rPr>
              <w:t>36/2023?</w:t>
            </w:r>
          </w:p>
        </w:tc>
        <w:tc>
          <w:tcPr>
            <w:tcW w:w="129" w:type="pct"/>
            <w:shd w:val="clear" w:color="auto" w:fill="auto"/>
            <w:vAlign w:val="center"/>
          </w:tcPr>
          <w:p w14:paraId="64A63086" w14:textId="77777777" w:rsidR="00700BC6" w:rsidRPr="00683A3C" w:rsidRDefault="00700BC6" w:rsidP="00700BC6">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6A083FB" w14:textId="77777777" w:rsidR="00700BC6" w:rsidRPr="00683A3C" w:rsidRDefault="00700BC6" w:rsidP="00700BC6">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6F42553" w14:textId="77777777" w:rsidR="00700BC6" w:rsidRPr="00683A3C" w:rsidRDefault="00700BC6" w:rsidP="00700BC6">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F48C5A2" w14:textId="77777777" w:rsidR="00700BC6" w:rsidRPr="00683A3C" w:rsidRDefault="00700BC6" w:rsidP="00700BC6">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65D2A194" w14:textId="77777777" w:rsidR="00700BC6" w:rsidRPr="00631AC7" w:rsidRDefault="00700BC6" w:rsidP="00700BC6">
            <w:pPr>
              <w:spacing w:after="0" w:line="240" w:lineRule="auto"/>
              <w:jc w:val="both"/>
              <w:rPr>
                <w:rFonts w:ascii="Garamond" w:eastAsia="Times New Roman" w:hAnsi="Garamond" w:cs="Times New Roman"/>
                <w:color w:val="000000"/>
                <w:highlight w:val="yellow"/>
                <w:lang w:eastAsia="it-IT"/>
              </w:rPr>
            </w:pPr>
          </w:p>
        </w:tc>
        <w:tc>
          <w:tcPr>
            <w:tcW w:w="399" w:type="pct"/>
            <w:shd w:val="clear" w:color="auto" w:fill="auto"/>
          </w:tcPr>
          <w:p w14:paraId="1E0B750F" w14:textId="77777777" w:rsidR="00700BC6" w:rsidRDefault="00700BC6" w:rsidP="00700BC6">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5C8DA0C7" w14:textId="0777E7FC" w:rsidR="00700BC6" w:rsidRDefault="00700BC6" w:rsidP="00700BC6">
            <w:pPr>
              <w:spacing w:after="0" w:line="240" w:lineRule="auto"/>
              <w:jc w:val="both"/>
              <w:rPr>
                <w:rFonts w:ascii="Garamond" w:eastAsia="Times New Roman" w:hAnsi="Garamond" w:cs="Times New Roman"/>
                <w:color w:val="000000"/>
                <w:lang w:eastAsia="it-IT"/>
              </w:rPr>
            </w:pPr>
          </w:p>
          <w:p w14:paraId="405DCF5B" w14:textId="77777777" w:rsidR="00700BC6" w:rsidRDefault="00700BC6" w:rsidP="00700BC6">
            <w:pPr>
              <w:spacing w:after="0" w:line="240" w:lineRule="auto"/>
              <w:jc w:val="both"/>
              <w:rPr>
                <w:rFonts w:ascii="Garamond" w:eastAsia="Times New Roman" w:hAnsi="Garamond" w:cs="Times New Roman"/>
                <w:color w:val="000000"/>
                <w:lang w:eastAsia="it-IT"/>
              </w:rPr>
            </w:pPr>
          </w:p>
          <w:p w14:paraId="69E8A076" w14:textId="7621BB7A" w:rsidR="00700BC6" w:rsidRPr="00AD0ADE" w:rsidRDefault="00700BC6" w:rsidP="00700BC6">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700BC6" w:rsidRDefault="00700BC6" w:rsidP="00700BC6">
            <w:pPr>
              <w:spacing w:after="0" w:line="240" w:lineRule="auto"/>
              <w:jc w:val="both"/>
              <w:rPr>
                <w:rFonts w:ascii="Garamond" w:eastAsia="Times New Roman" w:hAnsi="Garamond" w:cs="Times New Roman"/>
                <w:color w:val="000000"/>
                <w:highlight w:val="yellow"/>
                <w:lang w:eastAsia="it-IT"/>
              </w:rPr>
            </w:pPr>
          </w:p>
          <w:p w14:paraId="4C4DD152" w14:textId="77777777" w:rsidR="00700BC6" w:rsidRPr="00683A3C" w:rsidRDefault="00700BC6" w:rsidP="00700BC6">
            <w:pPr>
              <w:spacing w:after="0" w:line="240" w:lineRule="auto"/>
              <w:jc w:val="both"/>
              <w:rPr>
                <w:rFonts w:ascii="Garamond" w:eastAsia="Times New Roman" w:hAnsi="Garamond" w:cs="Times New Roman"/>
                <w:color w:val="000000"/>
                <w:highlight w:val="yellow"/>
                <w:lang w:eastAsia="it-IT"/>
              </w:rPr>
            </w:pPr>
          </w:p>
        </w:tc>
      </w:tr>
      <w:tr w:rsidR="00001D77" w:rsidRPr="00023F3C" w14:paraId="1AC946F0" w14:textId="77777777" w:rsidTr="00C92E2C">
        <w:trPr>
          <w:trHeight w:val="1022"/>
        </w:trPr>
        <w:tc>
          <w:tcPr>
            <w:tcW w:w="310" w:type="pct"/>
            <w:shd w:val="clear" w:color="auto" w:fill="auto"/>
            <w:vAlign w:val="center"/>
          </w:tcPr>
          <w:p w14:paraId="1E9E0982" w14:textId="7E9A7B7E" w:rsidR="00001D77" w:rsidRDefault="00001D77" w:rsidP="00001D7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64" w:type="pct"/>
            <w:shd w:val="clear" w:color="auto" w:fill="auto"/>
            <w:vAlign w:val="center"/>
          </w:tcPr>
          <w:p w14:paraId="07808F68" w14:textId="77777777" w:rsidR="00001D77" w:rsidRPr="00C6078D" w:rsidRDefault="00001D77" w:rsidP="00001D77">
            <w:pPr>
              <w:spacing w:after="0" w:line="240" w:lineRule="auto"/>
              <w:jc w:val="both"/>
              <w:rPr>
                <w:rFonts w:ascii="Garamond" w:eastAsia="Times New Roman" w:hAnsi="Garamond" w:cs="Times New Roman"/>
                <w:color w:val="000000"/>
                <w:lang w:eastAsia="it-IT"/>
              </w:rPr>
            </w:pPr>
            <w:r w:rsidRPr="00C6078D">
              <w:rPr>
                <w:rFonts w:ascii="Garamond" w:eastAsia="Times New Roman" w:hAnsi="Garamond" w:cs="Times New Roman"/>
                <w:color w:val="000000"/>
                <w:lang w:eastAsia="it-IT"/>
              </w:rPr>
              <w:t>Qualora si sia verificato uno dei casi di seguito indicati, i termini di cui all'art. 92 comma 1 sono stati prorogati in misura adeguata e proporzionale?</w:t>
            </w:r>
          </w:p>
          <w:p w14:paraId="6A0A3B5B" w14:textId="77777777" w:rsidR="00001D77" w:rsidRPr="002E4C04" w:rsidRDefault="00001D77" w:rsidP="00001D77">
            <w:pPr>
              <w:pStyle w:val="ListParagraph"/>
              <w:numPr>
                <w:ilvl w:val="0"/>
                <w:numId w:val="49"/>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 xml:space="preserve">se un operatore economico interessato a partecipare alla procedura di aggiudicazione abbia richiesto in tempo utile informazioni supplementari significative ai fini della preparazione dell’offerta e, per qualsiasi motivo, le abbia ricevute meno di sei giorni prima del termine stabilito per la </w:t>
            </w:r>
            <w:r w:rsidRPr="002E4C04">
              <w:rPr>
                <w:rFonts w:ascii="Garamond" w:eastAsia="Times New Roman" w:hAnsi="Garamond" w:cs="Times New Roman"/>
                <w:color w:val="000000"/>
                <w:lang w:eastAsia="it-IT"/>
              </w:rPr>
              <w:lastRenderedPageBreak/>
              <w:t>presentazione delle offerte, o, in caso di procedura accelerata ai sensi dell'articolo 71, comma 3, meno di quattro giorni prima;</w:t>
            </w:r>
          </w:p>
          <w:p w14:paraId="434FC512" w14:textId="77777777" w:rsidR="00001D77" w:rsidRDefault="00001D77" w:rsidP="00001D77">
            <w:pPr>
              <w:pStyle w:val="ListParagraph"/>
              <w:numPr>
                <w:ilvl w:val="0"/>
                <w:numId w:val="49"/>
              </w:numPr>
              <w:spacing w:after="0" w:line="240" w:lineRule="auto"/>
              <w:jc w:val="both"/>
              <w:rPr>
                <w:rFonts w:ascii="Garamond" w:eastAsia="Times New Roman" w:hAnsi="Garamond" w:cs="Times New Roman"/>
                <w:color w:val="000000"/>
                <w:lang w:eastAsia="it-IT"/>
              </w:rPr>
            </w:pPr>
            <w:r w:rsidRPr="002E4C04">
              <w:rPr>
                <w:rFonts w:ascii="Garamond" w:eastAsia="Times New Roman" w:hAnsi="Garamond" w:cs="Times New Roman"/>
                <w:color w:val="000000"/>
                <w:lang w:eastAsia="it-IT"/>
              </w:rPr>
              <w:t>se sono apportate modifiche significative ai documenti di gara;</w:t>
            </w:r>
          </w:p>
          <w:p w14:paraId="2FDF84A3" w14:textId="5B576879" w:rsidR="00001D77" w:rsidRPr="00001D77" w:rsidRDefault="00001D77" w:rsidP="00001D77">
            <w:pPr>
              <w:pStyle w:val="ListParagraph"/>
              <w:numPr>
                <w:ilvl w:val="0"/>
                <w:numId w:val="49"/>
              </w:numPr>
              <w:spacing w:after="0" w:line="240" w:lineRule="auto"/>
              <w:jc w:val="both"/>
              <w:rPr>
                <w:rFonts w:ascii="Garamond" w:eastAsia="Times New Roman" w:hAnsi="Garamond" w:cs="Times New Roman"/>
                <w:color w:val="000000"/>
                <w:lang w:eastAsia="it-IT"/>
              </w:rPr>
            </w:pPr>
            <w:r w:rsidRPr="00001D77">
              <w:rPr>
                <w:rFonts w:ascii="Garamond" w:eastAsia="Times New Roman" w:hAnsi="Garamond" w:cs="Times New Roman"/>
                <w:color w:val="000000"/>
                <w:lang w:eastAsia="it-IT"/>
              </w:rPr>
              <w:t>per comprovato malfunzionamento, pur se temporaneo, delle piattaforme.</w:t>
            </w:r>
          </w:p>
        </w:tc>
        <w:tc>
          <w:tcPr>
            <w:tcW w:w="129" w:type="pct"/>
            <w:shd w:val="clear" w:color="auto" w:fill="auto"/>
            <w:vAlign w:val="center"/>
          </w:tcPr>
          <w:p w14:paraId="2CF034D6" w14:textId="77777777" w:rsidR="00001D77" w:rsidRPr="00683A3C" w:rsidRDefault="00001D77" w:rsidP="00001D7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1627C47F" w14:textId="77777777" w:rsidR="00001D77" w:rsidRPr="00683A3C" w:rsidRDefault="00001D77" w:rsidP="00001D7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0EA9EBF2" w14:textId="77777777" w:rsidR="00001D77" w:rsidRPr="00683A3C" w:rsidRDefault="00001D77" w:rsidP="00001D7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27CD520C" w14:textId="77777777" w:rsidR="00001D77" w:rsidRPr="00683A3C" w:rsidRDefault="00001D77" w:rsidP="00001D7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tcPr>
          <w:p w14:paraId="0AD15381" w14:textId="77777777" w:rsidR="00001D77" w:rsidRPr="00631AC7" w:rsidRDefault="00001D77" w:rsidP="00001D77">
            <w:pPr>
              <w:spacing w:after="0" w:line="240" w:lineRule="auto"/>
              <w:jc w:val="both"/>
              <w:rPr>
                <w:rFonts w:ascii="Garamond" w:eastAsia="Times New Roman" w:hAnsi="Garamond" w:cs="Times New Roman"/>
                <w:color w:val="000000"/>
                <w:highlight w:val="yellow"/>
                <w:lang w:eastAsia="it-IT"/>
              </w:rPr>
            </w:pPr>
          </w:p>
        </w:tc>
        <w:tc>
          <w:tcPr>
            <w:tcW w:w="399" w:type="pct"/>
            <w:shd w:val="clear" w:color="auto" w:fill="auto"/>
            <w:vAlign w:val="center"/>
          </w:tcPr>
          <w:p w14:paraId="1B7D37BC" w14:textId="77777777" w:rsidR="00001D77" w:rsidRDefault="00001D77" w:rsidP="00001D7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2463676" w14:textId="77777777" w:rsidR="00001D77" w:rsidRPr="00282E21" w:rsidRDefault="00001D77" w:rsidP="00001D77">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w:t>
            </w:r>
          </w:p>
          <w:p w14:paraId="2DCFDFCB" w14:textId="5AA3F627" w:rsidR="00001D77" w:rsidRDefault="00001D77" w:rsidP="00001D77">
            <w:pPr>
              <w:spacing w:after="0" w:line="240" w:lineRule="auto"/>
              <w:jc w:val="both"/>
              <w:rPr>
                <w:rFonts w:ascii="Garamond" w:eastAsia="Times New Roman" w:hAnsi="Garamond" w:cs="Times New Roman"/>
                <w:color w:val="000000"/>
                <w:lang w:eastAsia="it-IT"/>
              </w:rPr>
            </w:pPr>
            <w:r w:rsidRPr="00282E21">
              <w:rPr>
                <w:rFonts w:ascii="Garamond" w:eastAsia="Times New Roman" w:hAnsi="Garamond" w:cs="Times New Roman"/>
                <w:color w:val="000000"/>
                <w:lang w:eastAsia="it-IT"/>
              </w:rPr>
              <w:t>• A</w:t>
            </w:r>
            <w:r>
              <w:rPr>
                <w:rFonts w:ascii="Garamond" w:eastAsia="Times New Roman" w:hAnsi="Garamond" w:cs="Times New Roman"/>
                <w:color w:val="000000"/>
                <w:lang w:eastAsia="it-IT"/>
              </w:rPr>
              <w:t>vviso di rettifica</w:t>
            </w:r>
          </w:p>
        </w:tc>
      </w:tr>
      <w:tr w:rsidR="00B61097" w:rsidRPr="00023F3C" w14:paraId="1D4CB77B" w14:textId="77777777" w:rsidTr="009B30BC">
        <w:trPr>
          <w:trHeight w:val="938"/>
        </w:trPr>
        <w:tc>
          <w:tcPr>
            <w:tcW w:w="310" w:type="pct"/>
            <w:shd w:val="clear" w:color="auto" w:fill="auto"/>
            <w:vAlign w:val="center"/>
          </w:tcPr>
          <w:p w14:paraId="7CFDDE34" w14:textId="259C1F73" w:rsidR="00B61097" w:rsidRDefault="00617316"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64" w:type="pct"/>
            <w:shd w:val="clear" w:color="auto" w:fill="auto"/>
            <w:vAlign w:val="center"/>
          </w:tcPr>
          <w:p w14:paraId="324275E4" w14:textId="77777777" w:rsidR="00B61097" w:rsidRPr="00683A3C" w:rsidRDefault="00B61097" w:rsidP="00B61097">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29" w:type="pct"/>
            <w:shd w:val="clear" w:color="auto" w:fill="auto"/>
            <w:vAlign w:val="center"/>
          </w:tcPr>
          <w:p w14:paraId="3AB16F3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4036997"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51F6A7F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E95731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tcPr>
          <w:p w14:paraId="466DD99B" w14:textId="396670EC"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23656F79" w14:textId="77777777" w:rsidR="00B61097" w:rsidRPr="002555B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F41E074" w14:textId="29A46939" w:rsidR="00B61097" w:rsidRPr="00683A3C" w:rsidRDefault="00B61097" w:rsidP="00B61097">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B61097" w:rsidRPr="00023F3C" w14:paraId="2500744F" w14:textId="77777777" w:rsidTr="009B30BC">
        <w:trPr>
          <w:trHeight w:val="938"/>
        </w:trPr>
        <w:tc>
          <w:tcPr>
            <w:tcW w:w="310" w:type="pct"/>
            <w:shd w:val="clear" w:color="auto" w:fill="auto"/>
            <w:vAlign w:val="center"/>
          </w:tcPr>
          <w:p w14:paraId="2327AE8B" w14:textId="5534D79A" w:rsidR="00B61097" w:rsidRDefault="00617316"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64" w:type="pct"/>
            <w:shd w:val="clear" w:color="auto" w:fill="auto"/>
            <w:vAlign w:val="center"/>
          </w:tcPr>
          <w:p w14:paraId="445FE190" w14:textId="77777777" w:rsidR="00B61097" w:rsidRPr="003A3200"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29" w:type="pct"/>
            <w:shd w:val="clear" w:color="auto" w:fill="auto"/>
            <w:vAlign w:val="center"/>
          </w:tcPr>
          <w:p w14:paraId="2D5D2DB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6AAF047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574A49C7"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57FD324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277DD516"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756C2995"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1646EEE" w14:textId="4D4544C5" w:rsidR="00B61097" w:rsidRPr="002555BF"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1097" w:rsidRPr="00023F3C" w14:paraId="7356DE3D" w14:textId="77777777" w:rsidTr="009B30BC">
        <w:trPr>
          <w:trHeight w:val="938"/>
        </w:trPr>
        <w:tc>
          <w:tcPr>
            <w:tcW w:w="310" w:type="pct"/>
            <w:shd w:val="clear" w:color="auto" w:fill="auto"/>
            <w:vAlign w:val="center"/>
          </w:tcPr>
          <w:p w14:paraId="1D7AB7FE" w14:textId="22948B0B"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1</w:t>
            </w:r>
          </w:p>
        </w:tc>
        <w:tc>
          <w:tcPr>
            <w:tcW w:w="1464" w:type="pct"/>
            <w:shd w:val="clear" w:color="auto" w:fill="auto"/>
            <w:vAlign w:val="center"/>
          </w:tcPr>
          <w:p w14:paraId="07F15515" w14:textId="0ADA644D" w:rsidR="00B61097" w:rsidRPr="003A3200"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29" w:type="pct"/>
            <w:shd w:val="clear" w:color="auto" w:fill="auto"/>
            <w:vAlign w:val="center"/>
          </w:tcPr>
          <w:p w14:paraId="5059B6E2"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1CC9D50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05FED1C7"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1BC27D6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0F51EEE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60E4D79B"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545D706" w14:textId="3F6D5864" w:rsidR="00B61097" w:rsidRPr="002555BF"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1097" w:rsidRPr="00023F3C" w14:paraId="691DB7F2" w14:textId="77777777" w:rsidTr="009B30BC">
        <w:trPr>
          <w:trHeight w:val="938"/>
        </w:trPr>
        <w:tc>
          <w:tcPr>
            <w:tcW w:w="310" w:type="pct"/>
            <w:shd w:val="clear" w:color="auto" w:fill="auto"/>
            <w:vAlign w:val="center"/>
          </w:tcPr>
          <w:p w14:paraId="6698BAED" w14:textId="1730071B"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2</w:t>
            </w:r>
          </w:p>
        </w:tc>
        <w:tc>
          <w:tcPr>
            <w:tcW w:w="1464" w:type="pct"/>
            <w:shd w:val="clear" w:color="auto" w:fill="auto"/>
            <w:vAlign w:val="center"/>
          </w:tcPr>
          <w:p w14:paraId="0C47FE2D" w14:textId="2A2565ED" w:rsidR="00B61097" w:rsidRPr="003A3200" w:rsidRDefault="00B61097" w:rsidP="00B61097">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w:t>
            </w:r>
            <w:r>
              <w:rPr>
                <w:rFonts w:ascii="Garamond" w:hAnsi="Garamond"/>
                <w:color w:val="000000"/>
              </w:rPr>
              <w:t>Stazione Appaltante</w:t>
            </w:r>
            <w:r w:rsidRPr="00167CFF">
              <w:rPr>
                <w:rFonts w:ascii="Garamond" w:hAnsi="Garamond"/>
                <w:color w:val="000000"/>
              </w:rPr>
              <w:t xml:space="preserve"> in conformità con le disposizioni previste dall'art. </w:t>
            </w:r>
            <w:r>
              <w:rPr>
                <w:rFonts w:ascii="Garamond" w:hAnsi="Garamond"/>
                <w:color w:val="000000"/>
              </w:rPr>
              <w:t>108</w:t>
            </w:r>
            <w:r w:rsidRPr="00167CFF">
              <w:rPr>
                <w:rFonts w:ascii="Garamond" w:hAnsi="Garamond"/>
                <w:color w:val="000000"/>
              </w:rPr>
              <w:t xml:space="preserve"> del D.</w:t>
            </w:r>
            <w:r>
              <w:rPr>
                <w:rFonts w:ascii="Garamond" w:hAnsi="Garamond"/>
                <w:color w:val="000000"/>
              </w:rPr>
              <w:t xml:space="preserve"> L</w:t>
            </w:r>
            <w:r w:rsidRPr="00167CFF">
              <w:rPr>
                <w:rFonts w:ascii="Garamond" w:hAnsi="Garamond"/>
                <w:color w:val="000000"/>
              </w:rPr>
              <w:t xml:space="preserve">gs. </w:t>
            </w:r>
            <w:r>
              <w:rPr>
                <w:rFonts w:ascii="Garamond" w:hAnsi="Garamond"/>
                <w:color w:val="000000"/>
              </w:rPr>
              <w:t>36/2023</w:t>
            </w:r>
            <w:r w:rsidRPr="00167CFF">
              <w:rPr>
                <w:rFonts w:ascii="Garamond" w:hAnsi="Garamond"/>
                <w:color w:val="000000"/>
              </w:rPr>
              <w:t>?</w:t>
            </w:r>
          </w:p>
        </w:tc>
        <w:tc>
          <w:tcPr>
            <w:tcW w:w="129" w:type="pct"/>
            <w:shd w:val="clear" w:color="auto" w:fill="auto"/>
            <w:vAlign w:val="center"/>
          </w:tcPr>
          <w:p w14:paraId="40EEC34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22C6B78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3C7BF1D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9F899B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512EFE6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701DED4B"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C84437C" w14:textId="2A090E22" w:rsidR="00B61097" w:rsidRPr="002555BF"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B61097" w:rsidRPr="00023F3C" w14:paraId="7C1B0AEC" w14:textId="77777777" w:rsidTr="009B30BC">
        <w:trPr>
          <w:trHeight w:val="938"/>
        </w:trPr>
        <w:tc>
          <w:tcPr>
            <w:tcW w:w="310" w:type="pct"/>
            <w:shd w:val="clear" w:color="auto" w:fill="auto"/>
            <w:vAlign w:val="center"/>
          </w:tcPr>
          <w:p w14:paraId="3426BF31" w14:textId="50B7F50F"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617316">
              <w:rPr>
                <w:rFonts w:ascii="Garamond" w:eastAsia="Times New Roman" w:hAnsi="Garamond" w:cs="Times New Roman"/>
                <w:color w:val="000000"/>
                <w:lang w:eastAsia="it-IT"/>
              </w:rPr>
              <w:t>3</w:t>
            </w:r>
          </w:p>
        </w:tc>
        <w:tc>
          <w:tcPr>
            <w:tcW w:w="1464" w:type="pct"/>
            <w:shd w:val="clear" w:color="auto" w:fill="auto"/>
            <w:vAlign w:val="center"/>
          </w:tcPr>
          <w:p w14:paraId="4D819371" w14:textId="122A8374" w:rsidR="00B61097" w:rsidRPr="003A3200" w:rsidRDefault="00B61097" w:rsidP="00B61097">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29" w:type="pct"/>
            <w:shd w:val="clear" w:color="auto" w:fill="auto"/>
            <w:vAlign w:val="center"/>
          </w:tcPr>
          <w:p w14:paraId="7F022B5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1144B764"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143C3FA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6620E8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5AD53C38" w14:textId="6A7ED3AA"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4B90D025"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292352D" w14:textId="10464B05" w:rsidR="00B61097"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d’invito di prequalifica</w:t>
            </w:r>
          </w:p>
          <w:p w14:paraId="4E0EECE4" w14:textId="77777777" w:rsidR="00B61097"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1609414E" w14:textId="2DA2D619" w:rsidR="00B61097" w:rsidRPr="002555BF"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tc>
      </w:tr>
      <w:tr w:rsidR="00B61097" w:rsidRPr="00023F3C" w14:paraId="3DE38E5B" w14:textId="77777777" w:rsidTr="009B30BC">
        <w:trPr>
          <w:trHeight w:val="1134"/>
        </w:trPr>
        <w:tc>
          <w:tcPr>
            <w:tcW w:w="310" w:type="pct"/>
            <w:shd w:val="clear" w:color="auto" w:fill="auto"/>
            <w:vAlign w:val="center"/>
          </w:tcPr>
          <w:p w14:paraId="546CFD57" w14:textId="2B045EC0"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4</w:t>
            </w:r>
          </w:p>
        </w:tc>
        <w:tc>
          <w:tcPr>
            <w:tcW w:w="1464" w:type="pct"/>
            <w:shd w:val="clear" w:color="auto" w:fill="auto"/>
            <w:vAlign w:val="center"/>
          </w:tcPr>
          <w:p w14:paraId="743FC4E0" w14:textId="3D8439FB" w:rsidR="00B61097" w:rsidRPr="00167CFF" w:rsidRDefault="00B61097" w:rsidP="00B61097">
            <w:pPr>
              <w:spacing w:after="0" w:line="240" w:lineRule="auto"/>
              <w:jc w:val="both"/>
              <w:rPr>
                <w:rFonts w:ascii="Garamond" w:hAnsi="Garamond"/>
                <w:color w:val="000000"/>
              </w:rPr>
            </w:pPr>
            <w:r w:rsidRPr="00CE7DB7">
              <w:rPr>
                <w:rFonts w:ascii="Garamond" w:hAnsi="Garamond"/>
                <w:color w:val="000000"/>
              </w:rPr>
              <w:t>Nel caso sia stato utilizzato il criterio del prezzo più basso ci sono i presupposti e le motivazioni per l’impiego di tale criterio ai sensi dell’art. 108 del D. Lgs. 36/2023?</w:t>
            </w:r>
          </w:p>
        </w:tc>
        <w:tc>
          <w:tcPr>
            <w:tcW w:w="129" w:type="pct"/>
            <w:shd w:val="clear" w:color="auto" w:fill="auto"/>
            <w:vAlign w:val="center"/>
          </w:tcPr>
          <w:p w14:paraId="4D70B026"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722757F"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0002853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BBD876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30FFDD3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62D5B515"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3B90D260" w14:textId="14B123A2" w:rsidR="00B61097" w:rsidRPr="00AD0ADE"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B61097" w:rsidRPr="00023F3C" w14:paraId="402B69F2" w14:textId="77777777" w:rsidTr="009B30BC">
        <w:trPr>
          <w:trHeight w:val="938"/>
        </w:trPr>
        <w:tc>
          <w:tcPr>
            <w:tcW w:w="310" w:type="pct"/>
            <w:shd w:val="clear" w:color="auto" w:fill="auto"/>
            <w:vAlign w:val="center"/>
          </w:tcPr>
          <w:p w14:paraId="7347415A" w14:textId="4811EAA4" w:rsidR="00B61097" w:rsidRPr="005D422F"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5</w:t>
            </w:r>
          </w:p>
        </w:tc>
        <w:tc>
          <w:tcPr>
            <w:tcW w:w="1464" w:type="pct"/>
            <w:shd w:val="clear" w:color="auto" w:fill="auto"/>
            <w:vAlign w:val="center"/>
          </w:tcPr>
          <w:p w14:paraId="355B27A1" w14:textId="77777777" w:rsidR="00B61097" w:rsidRPr="008421B7" w:rsidRDefault="00B61097" w:rsidP="00B61097">
            <w:pPr>
              <w:spacing w:after="0" w:line="240" w:lineRule="auto"/>
              <w:jc w:val="both"/>
              <w:rPr>
                <w:rFonts w:ascii="Garamond" w:eastAsia="Times New Roman" w:hAnsi="Garamond" w:cs="Times New Roman"/>
                <w:color w:val="000000"/>
                <w:lang w:eastAsia="it-IT"/>
              </w:rPr>
            </w:pPr>
            <w:r w:rsidRPr="008421B7">
              <w:rPr>
                <w:rFonts w:ascii="Garamond" w:eastAsia="Times New Roman" w:hAnsi="Garamond" w:cs="Times New Roman"/>
                <w:color w:val="000000"/>
                <w:lang w:eastAsia="it-IT"/>
              </w:rPr>
              <w:t>Nella documentazione di gara sono inserite le specifiche tecniche e le clausole contrattuali contenute nei criteri ambientali minimi adottati con Decreto del Ministro dell’ambiente e della tutela del territorio e del mare (art. 57 del D. Lgs. 36/2023)?</w:t>
            </w:r>
          </w:p>
          <w:p w14:paraId="35E6D0A5" w14:textId="050C1320" w:rsidR="00B61097" w:rsidRPr="008421B7" w:rsidRDefault="00B61097" w:rsidP="00B61097">
            <w:pPr>
              <w:spacing w:after="0" w:line="240" w:lineRule="auto"/>
              <w:jc w:val="both"/>
              <w:rPr>
                <w:rFonts w:ascii="Garamond" w:eastAsia="Times New Roman" w:hAnsi="Garamond" w:cs="Times New Roman"/>
                <w:color w:val="000000"/>
                <w:lang w:eastAsia="it-IT"/>
              </w:rPr>
            </w:pPr>
            <w:r w:rsidRPr="008421B7">
              <w:rPr>
                <w:rFonts w:ascii="Garamond" w:eastAsia="Times New Roman" w:hAnsi="Garamond" w:cs="Times New Roman"/>
                <w:color w:val="000000"/>
                <w:lang w:eastAsia="it-IT"/>
              </w:rPr>
              <w:t>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108, comma 4 del D. Lgs. 36/2023?</w:t>
            </w:r>
          </w:p>
        </w:tc>
        <w:tc>
          <w:tcPr>
            <w:tcW w:w="129" w:type="pct"/>
            <w:shd w:val="clear" w:color="auto" w:fill="auto"/>
            <w:vAlign w:val="center"/>
          </w:tcPr>
          <w:p w14:paraId="72DF219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519251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0B04E26"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6B2F892"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7AF6E109" w14:textId="78E2A834"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tcPr>
          <w:p w14:paraId="785F737D"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6C241AF7" w14:textId="7F5F74F7" w:rsidR="00B61097" w:rsidRPr="002555BF" w:rsidRDefault="00B61097" w:rsidP="00B61097">
            <w:pPr>
              <w:spacing w:after="0" w:line="240" w:lineRule="auto"/>
              <w:jc w:val="both"/>
              <w:rPr>
                <w:rFonts w:ascii="Garamond" w:eastAsia="Times New Roman" w:hAnsi="Garamond" w:cs="Times New Roman"/>
                <w:color w:val="000000"/>
                <w:lang w:eastAsia="it-IT"/>
              </w:rPr>
            </w:pPr>
            <w:r w:rsidRPr="00E51A12">
              <w:rPr>
                <w:rFonts w:ascii="Garamond" w:eastAsia="Times New Roman" w:hAnsi="Garamond" w:cs="Times New Roman"/>
                <w:color w:val="000000"/>
                <w:lang w:eastAsia="it-IT"/>
              </w:rPr>
              <w:t xml:space="preserve">• </w:t>
            </w:r>
            <w:r w:rsidRPr="00E662E4">
              <w:rPr>
                <w:rFonts w:ascii="Garamond" w:eastAsia="Times New Roman" w:hAnsi="Garamond" w:cs="Times New Roman"/>
                <w:color w:val="000000"/>
                <w:lang w:eastAsia="it-IT"/>
              </w:rPr>
              <w:t>D</w:t>
            </w:r>
            <w:r>
              <w:rPr>
                <w:rFonts w:ascii="Garamond" w:eastAsia="Times New Roman" w:hAnsi="Garamond" w:cs="Times New Roman"/>
                <w:color w:val="000000"/>
                <w:lang w:eastAsia="it-IT"/>
              </w:rPr>
              <w:t>isciplinare di prequalifica</w:t>
            </w:r>
          </w:p>
        </w:tc>
      </w:tr>
      <w:tr w:rsidR="00B61097" w:rsidRPr="00023F3C" w14:paraId="7CCA98F7" w14:textId="77777777" w:rsidTr="009B30BC">
        <w:trPr>
          <w:trHeight w:val="938"/>
        </w:trPr>
        <w:tc>
          <w:tcPr>
            <w:tcW w:w="310" w:type="pct"/>
            <w:shd w:val="clear" w:color="auto" w:fill="auto"/>
            <w:vAlign w:val="center"/>
          </w:tcPr>
          <w:p w14:paraId="290FA3D2" w14:textId="6B1DD465"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6</w:t>
            </w:r>
          </w:p>
        </w:tc>
        <w:tc>
          <w:tcPr>
            <w:tcW w:w="1464" w:type="pct"/>
            <w:shd w:val="clear" w:color="auto" w:fill="auto"/>
            <w:vAlign w:val="center"/>
          </w:tcPr>
          <w:p w14:paraId="580C6815" w14:textId="361F2EA3" w:rsidR="00B61097" w:rsidRPr="00CA2E77"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La </w:t>
            </w:r>
            <w:r>
              <w:rPr>
                <w:rFonts w:ascii="Garamond" w:eastAsia="Times New Roman" w:hAnsi="Garamond" w:cs="Times New Roman"/>
                <w:lang w:eastAsia="it-IT"/>
              </w:rPr>
              <w:t>Stazione Appaltante</w:t>
            </w:r>
            <w:r w:rsidRPr="001A50CC">
              <w:rPr>
                <w:rFonts w:ascii="Garamond" w:eastAsia="Times New Roman" w:hAnsi="Garamond" w:cs="Times New Roman"/>
                <w:lang w:eastAsia="it-IT"/>
              </w:rPr>
              <w:t xml:space="preserve"> ha indicato nei documenti di gara il contratto collettivo nazionale applicabile al </w:t>
            </w:r>
            <w:r w:rsidRPr="001A50CC">
              <w:rPr>
                <w:rFonts w:ascii="Garamond" w:eastAsia="Times New Roman" w:hAnsi="Garamond" w:cs="Times New Roman"/>
                <w:lang w:eastAsia="it-IT"/>
              </w:rPr>
              <w:lastRenderedPageBreak/>
              <w:t>personale dipendente impiegato nell’appalto (art. 11</w:t>
            </w:r>
            <w:r>
              <w:rPr>
                <w:rFonts w:ascii="Garamond" w:eastAsia="Times New Roman" w:hAnsi="Garamond" w:cs="Times New Roman"/>
                <w:lang w:eastAsia="it-IT"/>
              </w:rPr>
              <w:t xml:space="preserve"> del</w:t>
            </w:r>
            <w:r w:rsidRPr="001A50CC">
              <w:rPr>
                <w:rFonts w:ascii="Garamond" w:eastAsia="Times New Roman" w:hAnsi="Garamond" w:cs="Times New Roman"/>
                <w:lang w:eastAsia="it-IT"/>
              </w:rPr>
              <w:t xml:space="preserve">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29" w:type="pct"/>
            <w:shd w:val="clear" w:color="auto" w:fill="auto"/>
            <w:vAlign w:val="center"/>
          </w:tcPr>
          <w:p w14:paraId="6F01E1B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363C2B0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3D4A87D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F4987E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72EFE2D0" w14:textId="10F2C988"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r>
              <w:rPr>
                <w:rFonts w:ascii="Garamond" w:eastAsia="Times New Roman" w:hAnsi="Garamond" w:cs="Times New Roman"/>
                <w:color w:val="2F5496" w:themeColor="accent1" w:themeShade="BF"/>
                <w:lang w:eastAsia="it-IT"/>
              </w:rPr>
              <w:t xml:space="preserve">A partire dal 31 dicembre 2024, è stato introdotto </w:t>
            </w:r>
            <w:r>
              <w:rPr>
                <w:rFonts w:ascii="Garamond" w:eastAsia="Times New Roman" w:hAnsi="Garamond" w:cs="Times New Roman"/>
                <w:color w:val="2F5496" w:themeColor="accent1" w:themeShade="BF"/>
                <w:lang w:eastAsia="it-IT"/>
              </w:rPr>
              <w:lastRenderedPageBreak/>
              <w:t xml:space="preserve">l’Allegato I.01 al Codice che </w:t>
            </w:r>
            <w:r w:rsidRPr="00D76F6F">
              <w:rPr>
                <w:rFonts w:ascii="Garamond" w:eastAsia="Times New Roman" w:hAnsi="Garamond" w:cs="Times New Roman"/>
                <w:color w:val="2F5496" w:themeColor="accent1" w:themeShade="BF"/>
                <w:lang w:eastAsia="it-IT"/>
              </w:rPr>
              <w:t xml:space="preserve">stabilisce l’applicazione di un unico CCNL nel </w:t>
            </w:r>
            <w:r>
              <w:rPr>
                <w:rFonts w:ascii="Garamond" w:eastAsia="Times New Roman" w:hAnsi="Garamond" w:cs="Times New Roman"/>
                <w:color w:val="2F5496" w:themeColor="accent1" w:themeShade="BF"/>
                <w:lang w:eastAsia="it-IT"/>
              </w:rPr>
              <w:t>Lettera d’invito</w:t>
            </w:r>
            <w:r w:rsidRPr="00D76F6F">
              <w:rPr>
                <w:rFonts w:ascii="Garamond" w:eastAsia="Times New Roman" w:hAnsi="Garamond" w:cs="Times New Roman"/>
                <w:color w:val="2F5496" w:themeColor="accent1" w:themeShade="BF"/>
                <w:lang w:eastAsia="it-IT"/>
              </w:rPr>
              <w:t xml:space="preserve"> di gara</w:t>
            </w:r>
            <w:r>
              <w:rPr>
                <w:rFonts w:ascii="Garamond" w:eastAsia="Times New Roman" w:hAnsi="Garamond" w:cs="Times New Roman"/>
                <w:color w:val="2F5496" w:themeColor="accent1" w:themeShade="BF"/>
                <w:lang w:eastAsia="it-IT"/>
              </w:rPr>
              <w:t xml:space="preserve"> e disciplina le modalità di individuazione del CCNL applicabile.</w:t>
            </w:r>
          </w:p>
        </w:tc>
        <w:tc>
          <w:tcPr>
            <w:tcW w:w="399" w:type="pct"/>
          </w:tcPr>
          <w:p w14:paraId="4368AB82"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950EB1B" w14:textId="77777777" w:rsidR="00B61097" w:rsidRPr="001A50CC" w:rsidRDefault="00B61097" w:rsidP="00B61097">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Disciplinare</w:t>
            </w:r>
          </w:p>
          <w:p w14:paraId="77DD386D" w14:textId="205825C8" w:rsidR="00B61097" w:rsidRPr="00622822"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Altro</w:t>
            </w:r>
          </w:p>
        </w:tc>
      </w:tr>
      <w:tr w:rsidR="00B61097" w:rsidRPr="00023F3C" w14:paraId="074FC5BE" w14:textId="77777777" w:rsidTr="009B30BC">
        <w:trPr>
          <w:trHeight w:val="938"/>
        </w:trPr>
        <w:tc>
          <w:tcPr>
            <w:tcW w:w="310" w:type="pct"/>
            <w:shd w:val="clear" w:color="auto" w:fill="auto"/>
            <w:vAlign w:val="center"/>
          </w:tcPr>
          <w:p w14:paraId="58EE7372" w14:textId="6B9145E3"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617316">
              <w:rPr>
                <w:rFonts w:ascii="Garamond" w:eastAsia="Times New Roman" w:hAnsi="Garamond" w:cs="Times New Roman"/>
                <w:color w:val="000000"/>
                <w:lang w:eastAsia="it-IT"/>
              </w:rPr>
              <w:t>7</w:t>
            </w:r>
          </w:p>
        </w:tc>
        <w:tc>
          <w:tcPr>
            <w:tcW w:w="1464" w:type="pct"/>
            <w:shd w:val="clear" w:color="auto" w:fill="auto"/>
            <w:vAlign w:val="center"/>
          </w:tcPr>
          <w:p w14:paraId="4ECFBC2C" w14:textId="5B2D32CC" w:rsidR="00B61097" w:rsidRPr="001A50CC" w:rsidRDefault="00B61097" w:rsidP="00B61097">
            <w:pPr>
              <w:spacing w:after="0" w:line="240" w:lineRule="auto"/>
              <w:jc w:val="both"/>
              <w:rPr>
                <w:rFonts w:ascii="Garamond" w:eastAsia="Times New Roman" w:hAnsi="Garamond" w:cs="Times New Roman"/>
                <w:lang w:eastAsia="it-IT"/>
              </w:rPr>
            </w:pPr>
            <w:r w:rsidRPr="001A50CC">
              <w:rPr>
                <w:rFonts w:ascii="Garamond" w:eastAsia="Times New Roman" w:hAnsi="Garamond" w:cs="Times New Roman"/>
                <w:lang w:eastAsia="it-IT"/>
              </w:rPr>
              <w:t xml:space="preserve">Nei documenti posti a base di gara, i costi della sicurezza e della manodopera sono scorporati dal costo dall’importo assoggettato al ribasso ai sensi dell’art. 41, comma 14,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29" w:type="pct"/>
            <w:shd w:val="clear" w:color="auto" w:fill="auto"/>
            <w:vAlign w:val="center"/>
          </w:tcPr>
          <w:p w14:paraId="1272C312"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7B2504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EBE52E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167EB6E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163C10F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1962B08A"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002A827" w14:textId="77777777" w:rsidR="00B61097" w:rsidRPr="005243D8" w:rsidRDefault="00B61097" w:rsidP="00B61097">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Decisione di contrarre;</w:t>
            </w:r>
          </w:p>
          <w:p w14:paraId="30F9DD86" w14:textId="64607710" w:rsidR="00B61097" w:rsidRPr="005243D8" w:rsidRDefault="00B61097" w:rsidP="00B61097">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w:t>
            </w:r>
            <w:r>
              <w:rPr>
                <w:rFonts w:ascii="Garamond" w:eastAsia="Times New Roman" w:hAnsi="Garamond" w:cs="Times New Roman"/>
                <w:lang w:eastAsia="it-IT"/>
              </w:rPr>
              <w:t>Lettera d’invito di prequalifica</w:t>
            </w:r>
          </w:p>
          <w:p w14:paraId="7A1B6071" w14:textId="7CB4332B" w:rsidR="00B61097" w:rsidRPr="001A50CC" w:rsidRDefault="00B61097" w:rsidP="00B61097">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Disciplinare di gara</w:t>
            </w:r>
          </w:p>
        </w:tc>
      </w:tr>
      <w:tr w:rsidR="00B61097" w:rsidRPr="00023F3C" w14:paraId="4937CBFD" w14:textId="77777777" w:rsidTr="00E7285B">
        <w:trPr>
          <w:trHeight w:val="868"/>
        </w:trPr>
        <w:tc>
          <w:tcPr>
            <w:tcW w:w="310" w:type="pct"/>
            <w:shd w:val="clear" w:color="auto" w:fill="B4C6E7" w:themeFill="accent1" w:themeFillTint="66"/>
            <w:vAlign w:val="center"/>
          </w:tcPr>
          <w:p w14:paraId="5A5085D8" w14:textId="45BEEF4E" w:rsidR="00B61097" w:rsidRPr="00AF47F5" w:rsidRDefault="00B61097" w:rsidP="00B61097">
            <w:pPr>
              <w:spacing w:after="0" w:line="240" w:lineRule="auto"/>
              <w:jc w:val="center"/>
              <w:rPr>
                <w:rFonts w:ascii="Garamond" w:eastAsia="Times New Roman" w:hAnsi="Garamond" w:cs="Times New Roman"/>
                <w:b/>
                <w:bCs/>
                <w:color w:val="000000"/>
                <w:lang w:eastAsia="it-IT"/>
              </w:rPr>
            </w:pPr>
            <w:r w:rsidRPr="00AF47F5">
              <w:rPr>
                <w:rFonts w:ascii="Garamond" w:eastAsia="Times New Roman" w:hAnsi="Garamond" w:cs="Times New Roman"/>
                <w:b/>
                <w:bCs/>
                <w:color w:val="000000"/>
                <w:lang w:eastAsia="it-IT"/>
              </w:rPr>
              <w:t>F</w:t>
            </w:r>
          </w:p>
        </w:tc>
        <w:tc>
          <w:tcPr>
            <w:tcW w:w="4690" w:type="pct"/>
            <w:gridSpan w:val="8"/>
            <w:shd w:val="clear" w:color="auto" w:fill="B4C6E7" w:themeFill="accent1" w:themeFillTint="66"/>
            <w:vAlign w:val="center"/>
          </w:tcPr>
          <w:p w14:paraId="29B6145C" w14:textId="58459059" w:rsidR="00B61097" w:rsidRPr="00AF47F5" w:rsidRDefault="00B61097" w:rsidP="00B61097">
            <w:pPr>
              <w:spacing w:after="0" w:line="240" w:lineRule="auto"/>
              <w:jc w:val="center"/>
              <w:rPr>
                <w:rFonts w:ascii="Garamond" w:eastAsia="Times New Roman" w:hAnsi="Garamond" w:cs="Times New Roman"/>
                <w:b/>
                <w:bCs/>
                <w:lang w:eastAsia="it-IT"/>
              </w:rPr>
            </w:pPr>
            <w:r w:rsidRPr="00AF47F5">
              <w:rPr>
                <w:rFonts w:ascii="Garamond" w:eastAsia="Times New Roman" w:hAnsi="Garamond" w:cs="Times New Roman"/>
                <w:b/>
                <w:bCs/>
                <w:lang w:eastAsia="it-IT"/>
              </w:rPr>
              <w:t>La procedura di selezione</w:t>
            </w:r>
          </w:p>
        </w:tc>
      </w:tr>
      <w:tr w:rsidR="00B61097" w:rsidRPr="00023F3C" w14:paraId="71324332" w14:textId="77777777" w:rsidTr="009B30BC">
        <w:trPr>
          <w:trHeight w:val="938"/>
        </w:trPr>
        <w:tc>
          <w:tcPr>
            <w:tcW w:w="310" w:type="pct"/>
            <w:shd w:val="clear" w:color="auto" w:fill="auto"/>
            <w:vAlign w:val="center"/>
          </w:tcPr>
          <w:p w14:paraId="2F90A5DD" w14:textId="14B75802"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5B37E0BB" w14:textId="1EC7D5AA" w:rsidR="00B61097" w:rsidRPr="001A50CC" w:rsidRDefault="00B61097" w:rsidP="00B61097">
            <w:pPr>
              <w:spacing w:after="0" w:line="240" w:lineRule="auto"/>
              <w:jc w:val="both"/>
              <w:rPr>
                <w:rFonts w:ascii="Garamond" w:eastAsia="Times New Roman" w:hAnsi="Garamond" w:cs="Times New Roman"/>
                <w:lang w:eastAsia="it-IT"/>
              </w:rPr>
            </w:pPr>
            <w:r w:rsidRPr="005D422F">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w:t>
            </w:r>
            <w:r w:rsidRPr="005D422F">
              <w:rPr>
                <w:rFonts w:ascii="Garamond" w:eastAsia="Times New Roman" w:hAnsi="Garamond" w:cs="Times New Roman"/>
                <w:color w:val="000000"/>
                <w:lang w:eastAsia="it-IT"/>
              </w:rPr>
              <w:t xml:space="preserve">tazione </w:t>
            </w:r>
            <w:r>
              <w:rPr>
                <w:rFonts w:ascii="Garamond" w:eastAsia="Times New Roman" w:hAnsi="Garamond" w:cs="Times New Roman"/>
                <w:color w:val="000000"/>
                <w:lang w:eastAsia="it-IT"/>
              </w:rPr>
              <w:t>A</w:t>
            </w:r>
            <w:r w:rsidRPr="005D422F">
              <w:rPr>
                <w:rFonts w:ascii="Garamond" w:eastAsia="Times New Roman" w:hAnsi="Garamond" w:cs="Times New Roman"/>
                <w:color w:val="000000"/>
                <w:lang w:eastAsia="it-IT"/>
              </w:rPr>
              <w:t>ppaltante ha individuato gli operatori economici da invitare sulla base di informazioni riguardanti le caratteristiche di qualificazione economic</w:t>
            </w:r>
            <w:r>
              <w:rPr>
                <w:rFonts w:ascii="Garamond" w:eastAsia="Times New Roman" w:hAnsi="Garamond" w:cs="Times New Roman"/>
                <w:color w:val="000000"/>
                <w:lang w:eastAsia="it-IT"/>
              </w:rPr>
              <w:t>a e</w:t>
            </w:r>
            <w:r w:rsidRPr="005D422F">
              <w:rPr>
                <w:rFonts w:ascii="Garamond" w:eastAsia="Times New Roman" w:hAnsi="Garamond" w:cs="Times New Roman"/>
                <w:color w:val="000000"/>
                <w:lang w:eastAsia="it-IT"/>
              </w:rPr>
              <w:t xml:space="preserve"> finanziaria e tecnic</w:t>
            </w:r>
            <w:r>
              <w:rPr>
                <w:rFonts w:ascii="Garamond" w:eastAsia="Times New Roman" w:hAnsi="Garamond" w:cs="Times New Roman"/>
                <w:color w:val="000000"/>
                <w:lang w:eastAsia="it-IT"/>
              </w:rPr>
              <w:t>he e professionali</w:t>
            </w:r>
            <w:r w:rsidRPr="005D422F">
              <w:rPr>
                <w:rFonts w:ascii="Garamond" w:eastAsia="Times New Roman" w:hAnsi="Garamond" w:cs="Times New Roman"/>
                <w:color w:val="000000"/>
                <w:lang w:eastAsia="it-IT"/>
              </w:rPr>
              <w:t xml:space="preserve"> all’esito di apposita indagine di mercato, nel rispetto dei principi di trasparenza</w:t>
            </w:r>
            <w:r>
              <w:rPr>
                <w:rFonts w:ascii="Garamond" w:eastAsia="Times New Roman" w:hAnsi="Garamond" w:cs="Times New Roman"/>
                <w:color w:val="000000"/>
                <w:lang w:eastAsia="it-IT"/>
              </w:rPr>
              <w:t xml:space="preserve"> e </w:t>
            </w:r>
            <w:r w:rsidRPr="005D422F">
              <w:rPr>
                <w:rFonts w:ascii="Garamond" w:eastAsia="Times New Roman" w:hAnsi="Garamond" w:cs="Times New Roman"/>
                <w:color w:val="000000"/>
                <w:lang w:eastAsia="it-IT"/>
              </w:rPr>
              <w:t>concorrenza</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7,</w:t>
            </w:r>
            <w:r w:rsidRPr="005D422F">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5D422F">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5D422F">
              <w:rPr>
                <w:rFonts w:ascii="Garamond" w:eastAsia="Times New Roman" w:hAnsi="Garamond" w:cs="Times New Roman"/>
                <w:color w:val="000000"/>
                <w:lang w:eastAsia="it-IT"/>
              </w:rPr>
              <w:t>?</w:t>
            </w:r>
          </w:p>
        </w:tc>
        <w:tc>
          <w:tcPr>
            <w:tcW w:w="129" w:type="pct"/>
            <w:shd w:val="clear" w:color="auto" w:fill="auto"/>
            <w:vAlign w:val="center"/>
          </w:tcPr>
          <w:p w14:paraId="09B550C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BE8E34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0062B28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567487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4655021C"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463EC975"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E46903A" w14:textId="77777777" w:rsidR="00B61097" w:rsidRPr="00D97336" w:rsidRDefault="00B61097" w:rsidP="00B61097">
            <w:pPr>
              <w:spacing w:after="0" w:line="240" w:lineRule="auto"/>
              <w:jc w:val="both"/>
              <w:rPr>
                <w:rFonts w:ascii="Garamond" w:eastAsia="Times New Roman" w:hAnsi="Garamond" w:cs="Times New Roman"/>
                <w:lang w:eastAsia="it-IT"/>
              </w:rPr>
            </w:pPr>
            <w:r w:rsidRPr="00D97336">
              <w:rPr>
                <w:rFonts w:ascii="Garamond" w:eastAsia="Times New Roman" w:hAnsi="Garamond" w:cs="Times New Roman"/>
                <w:lang w:eastAsia="it-IT"/>
              </w:rPr>
              <w:t>• Verbali</w:t>
            </w:r>
          </w:p>
          <w:p w14:paraId="6417CB79" w14:textId="77777777" w:rsidR="00B61097" w:rsidRPr="00D97336" w:rsidRDefault="00B61097" w:rsidP="00B61097">
            <w:pPr>
              <w:spacing w:after="0" w:line="240" w:lineRule="auto"/>
              <w:jc w:val="both"/>
              <w:rPr>
                <w:rFonts w:ascii="Garamond" w:eastAsia="Times New Roman" w:hAnsi="Garamond" w:cs="Times New Roman"/>
                <w:lang w:eastAsia="it-IT"/>
              </w:rPr>
            </w:pPr>
            <w:r w:rsidRPr="00D97336">
              <w:rPr>
                <w:rFonts w:ascii="Garamond" w:eastAsia="Times New Roman" w:hAnsi="Garamond" w:cs="Times New Roman"/>
                <w:lang w:eastAsia="it-IT"/>
              </w:rPr>
              <w:t>• Relazione Tecnica</w:t>
            </w:r>
          </w:p>
          <w:p w14:paraId="71C36CCF" w14:textId="7FE5C8F4" w:rsidR="00B61097" w:rsidRPr="005243D8" w:rsidRDefault="00B61097" w:rsidP="00B61097">
            <w:pPr>
              <w:spacing w:after="0" w:line="240" w:lineRule="auto"/>
              <w:jc w:val="both"/>
              <w:rPr>
                <w:rFonts w:ascii="Garamond" w:eastAsia="Times New Roman" w:hAnsi="Garamond" w:cs="Times New Roman"/>
                <w:lang w:eastAsia="it-IT"/>
              </w:rPr>
            </w:pPr>
            <w:r w:rsidRPr="00D97336">
              <w:rPr>
                <w:rFonts w:ascii="Garamond" w:eastAsia="Times New Roman" w:hAnsi="Garamond" w:cs="Times New Roman"/>
                <w:lang w:eastAsia="it-IT"/>
              </w:rPr>
              <w:t>• Altro</w:t>
            </w:r>
          </w:p>
        </w:tc>
      </w:tr>
      <w:tr w:rsidR="00B61097" w:rsidRPr="00023F3C" w14:paraId="5162E8BD" w14:textId="77777777" w:rsidTr="009B30BC">
        <w:trPr>
          <w:trHeight w:val="938"/>
        </w:trPr>
        <w:tc>
          <w:tcPr>
            <w:tcW w:w="310" w:type="pct"/>
            <w:shd w:val="clear" w:color="auto" w:fill="auto"/>
            <w:vAlign w:val="center"/>
          </w:tcPr>
          <w:p w14:paraId="5A38C333" w14:textId="24A2B599"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64" w:type="pct"/>
            <w:shd w:val="clear" w:color="auto" w:fill="auto"/>
            <w:vAlign w:val="center"/>
          </w:tcPr>
          <w:p w14:paraId="4EA56567" w14:textId="111D8294" w:rsidR="00B61097" w:rsidRPr="001A50CC" w:rsidRDefault="00B61097" w:rsidP="00B61097">
            <w:pPr>
              <w:spacing w:after="0" w:line="240" w:lineRule="auto"/>
              <w:jc w:val="both"/>
              <w:rPr>
                <w:rFonts w:ascii="Garamond" w:eastAsia="Times New Roman" w:hAnsi="Garamond" w:cs="Times New Roman"/>
                <w:lang w:eastAsia="it-IT"/>
              </w:rPr>
            </w:pPr>
            <w:r w:rsidRPr="005D422F">
              <w:rPr>
                <w:rFonts w:ascii="Garamond" w:eastAsia="Times New Roman" w:hAnsi="Garamond" w:cs="Times New Roman"/>
                <w:color w:val="000000"/>
                <w:lang w:eastAsia="it-IT"/>
              </w:rPr>
              <w:t>È stato motivato l’eventuale mancato esperimento dell’indagine di mercato?</w:t>
            </w:r>
          </w:p>
        </w:tc>
        <w:tc>
          <w:tcPr>
            <w:tcW w:w="129" w:type="pct"/>
            <w:shd w:val="clear" w:color="auto" w:fill="auto"/>
            <w:vAlign w:val="center"/>
          </w:tcPr>
          <w:p w14:paraId="3A2FED2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BA97E47"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105E61D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FDBDB6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007CF30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54835F7A"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D5B3D57" w14:textId="77777777" w:rsidR="00B61097" w:rsidRPr="00D97336" w:rsidRDefault="00B61097" w:rsidP="00B61097">
            <w:pPr>
              <w:spacing w:after="0" w:line="240" w:lineRule="auto"/>
              <w:jc w:val="both"/>
              <w:rPr>
                <w:rFonts w:ascii="Garamond" w:eastAsia="Times New Roman" w:hAnsi="Garamond" w:cs="Times New Roman"/>
                <w:lang w:eastAsia="it-IT"/>
              </w:rPr>
            </w:pPr>
            <w:r w:rsidRPr="00D97336">
              <w:rPr>
                <w:rFonts w:ascii="Garamond" w:eastAsia="Times New Roman" w:hAnsi="Garamond" w:cs="Times New Roman"/>
                <w:lang w:eastAsia="it-IT"/>
              </w:rPr>
              <w:t>• Relazione Tecnica</w:t>
            </w:r>
          </w:p>
          <w:p w14:paraId="4EF2BDA9" w14:textId="204D0075" w:rsidR="00B61097" w:rsidRPr="005243D8" w:rsidRDefault="00B61097" w:rsidP="00B61097">
            <w:pPr>
              <w:spacing w:after="0" w:line="240" w:lineRule="auto"/>
              <w:jc w:val="both"/>
              <w:rPr>
                <w:rFonts w:ascii="Garamond" w:eastAsia="Times New Roman" w:hAnsi="Garamond" w:cs="Times New Roman"/>
                <w:lang w:eastAsia="it-IT"/>
              </w:rPr>
            </w:pPr>
            <w:r w:rsidRPr="00D97336">
              <w:rPr>
                <w:rFonts w:ascii="Garamond" w:eastAsia="Times New Roman" w:hAnsi="Garamond" w:cs="Times New Roman"/>
                <w:lang w:eastAsia="it-IT"/>
              </w:rPr>
              <w:t>• Altro</w:t>
            </w:r>
          </w:p>
        </w:tc>
      </w:tr>
      <w:tr w:rsidR="00B61097" w:rsidRPr="00023F3C" w14:paraId="79FD23A8" w14:textId="77777777" w:rsidTr="009B30BC">
        <w:trPr>
          <w:trHeight w:val="938"/>
        </w:trPr>
        <w:tc>
          <w:tcPr>
            <w:tcW w:w="310" w:type="pct"/>
            <w:shd w:val="clear" w:color="auto" w:fill="auto"/>
            <w:vAlign w:val="center"/>
          </w:tcPr>
          <w:p w14:paraId="15F72EA3" w14:textId="342732FF"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46C4E06E" w14:textId="07178283" w:rsidR="00B61097" w:rsidRPr="001A50CC" w:rsidRDefault="00B61097" w:rsidP="00B61097">
            <w:pPr>
              <w:spacing w:after="0" w:line="240" w:lineRule="auto"/>
              <w:jc w:val="both"/>
              <w:rPr>
                <w:rFonts w:ascii="Garamond" w:eastAsia="Times New Roman" w:hAnsi="Garamond" w:cs="Times New Roman"/>
                <w:lang w:eastAsia="it-IT"/>
              </w:rPr>
            </w:pPr>
            <w:r w:rsidRPr="005D422F">
              <w:rPr>
                <w:rFonts w:ascii="Garamond" w:eastAsia="Times New Roman" w:hAnsi="Garamond" w:cs="Times New Roman"/>
                <w:color w:val="000000"/>
                <w:lang w:eastAsia="it-IT"/>
              </w:rPr>
              <w:t xml:space="preserve">Sono stati invitati operatori economici nel numero minimo stabilito dall’art </w:t>
            </w:r>
            <w:r>
              <w:rPr>
                <w:rFonts w:ascii="Garamond" w:eastAsia="Times New Roman" w:hAnsi="Garamond" w:cs="Times New Roman"/>
                <w:color w:val="000000"/>
                <w:lang w:eastAsia="it-IT"/>
              </w:rPr>
              <w:t>76, comma 7</w:t>
            </w:r>
            <w:r w:rsidRPr="005D422F">
              <w:rPr>
                <w:rFonts w:ascii="Garamond" w:eastAsia="Times New Roman" w:hAnsi="Garamond" w:cs="Times New Roman"/>
                <w:color w:val="000000"/>
                <w:lang w:eastAsia="it-IT"/>
              </w:rPr>
              <w:t>, del D.</w:t>
            </w:r>
            <w:r>
              <w:rPr>
                <w:rFonts w:ascii="Garamond" w:eastAsia="Times New Roman" w:hAnsi="Garamond" w:cs="Times New Roman"/>
                <w:color w:val="000000"/>
                <w:lang w:eastAsia="it-IT"/>
              </w:rPr>
              <w:t xml:space="preserve"> L</w:t>
            </w:r>
            <w:r w:rsidRPr="005D422F">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Pr="005D422F">
              <w:rPr>
                <w:rFonts w:ascii="Garamond" w:eastAsia="Times New Roman" w:hAnsi="Garamond" w:cs="Times New Roman"/>
                <w:color w:val="000000"/>
                <w:lang w:eastAsia="it-IT"/>
              </w:rPr>
              <w:t xml:space="preserve">per le procedure negoziate senza previa pubblicazione di </w:t>
            </w:r>
            <w:r>
              <w:rPr>
                <w:rFonts w:ascii="Garamond" w:eastAsia="Times New Roman" w:hAnsi="Garamond" w:cs="Times New Roman"/>
                <w:color w:val="000000"/>
                <w:lang w:eastAsia="it-IT"/>
              </w:rPr>
              <w:t>Lettera d’invito</w:t>
            </w:r>
            <w:r w:rsidRPr="005D422F">
              <w:rPr>
                <w:rFonts w:ascii="Garamond" w:eastAsia="Times New Roman" w:hAnsi="Garamond" w:cs="Times New Roman"/>
                <w:color w:val="000000"/>
                <w:lang w:eastAsia="it-IT"/>
              </w:rPr>
              <w:t>?</w:t>
            </w:r>
          </w:p>
        </w:tc>
        <w:tc>
          <w:tcPr>
            <w:tcW w:w="129" w:type="pct"/>
            <w:shd w:val="clear" w:color="auto" w:fill="auto"/>
            <w:vAlign w:val="center"/>
          </w:tcPr>
          <w:p w14:paraId="09E2C52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BB290A2"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C636F6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DB62A2C"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107CACC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19FD437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412A2D2" w14:textId="451757C7" w:rsidR="00B61097" w:rsidRPr="005243D8" w:rsidRDefault="00B61097" w:rsidP="00B61097">
            <w:pPr>
              <w:spacing w:after="0" w:line="240" w:lineRule="auto"/>
              <w:jc w:val="both"/>
              <w:rPr>
                <w:rFonts w:ascii="Garamond" w:eastAsia="Times New Roman" w:hAnsi="Garamond" w:cs="Times New Roman"/>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B61097" w:rsidRPr="00023F3C" w14:paraId="2BFCD18F" w14:textId="77777777" w:rsidTr="009B30BC">
        <w:trPr>
          <w:trHeight w:val="938"/>
        </w:trPr>
        <w:tc>
          <w:tcPr>
            <w:tcW w:w="310" w:type="pct"/>
            <w:shd w:val="clear" w:color="auto" w:fill="auto"/>
            <w:vAlign w:val="center"/>
          </w:tcPr>
          <w:p w14:paraId="4DBFED1C" w14:textId="50881543" w:rsidR="00B61097" w:rsidRDefault="00B61097" w:rsidP="00B61097">
            <w:pPr>
              <w:spacing w:after="0" w:line="240" w:lineRule="auto"/>
              <w:jc w:val="center"/>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4</w:t>
            </w:r>
          </w:p>
        </w:tc>
        <w:tc>
          <w:tcPr>
            <w:tcW w:w="1464" w:type="pct"/>
            <w:shd w:val="clear" w:color="auto" w:fill="auto"/>
            <w:vAlign w:val="center"/>
          </w:tcPr>
          <w:p w14:paraId="56F83BCA" w14:textId="0FA48C3A" w:rsidR="00B61097" w:rsidRPr="001A50CC" w:rsidRDefault="00B61097" w:rsidP="00B61097">
            <w:pPr>
              <w:spacing w:after="0" w:line="240" w:lineRule="auto"/>
              <w:jc w:val="both"/>
              <w:rPr>
                <w:rFonts w:ascii="Garamond" w:eastAsia="Times New Roman" w:hAnsi="Garamond" w:cs="Times New Roman"/>
                <w:lang w:eastAsia="it-IT"/>
              </w:rPr>
            </w:pPr>
            <w:r w:rsidRPr="005D422F">
              <w:rPr>
                <w:rFonts w:ascii="Garamond" w:eastAsia="Times New Roman" w:hAnsi="Garamond" w:cs="Times New Roman"/>
                <w:color w:val="000000"/>
                <w:lang w:eastAsia="it-IT"/>
              </w:rPr>
              <w:t>Sussiste adeguata motivazione per il mancato rispetto del numero minimo di cui al punto precedente?</w:t>
            </w:r>
          </w:p>
        </w:tc>
        <w:tc>
          <w:tcPr>
            <w:tcW w:w="129" w:type="pct"/>
            <w:shd w:val="clear" w:color="auto" w:fill="auto"/>
            <w:vAlign w:val="center"/>
          </w:tcPr>
          <w:p w14:paraId="0C1A8E7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1D791FD"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76088A4C"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40AE7B52"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00BDE06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0F57245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D1AE62B" w14:textId="088343A1" w:rsidR="00B61097" w:rsidRPr="005243D8" w:rsidRDefault="00B61097" w:rsidP="00B61097">
            <w:pPr>
              <w:spacing w:after="0" w:line="240" w:lineRule="auto"/>
              <w:jc w:val="both"/>
              <w:rPr>
                <w:rFonts w:ascii="Garamond" w:eastAsia="Times New Roman" w:hAnsi="Garamond" w:cs="Times New Roman"/>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tc>
      </w:tr>
      <w:tr w:rsidR="00B61097" w:rsidRPr="00023F3C" w14:paraId="7F619E34" w14:textId="77777777" w:rsidTr="009B30BC">
        <w:trPr>
          <w:trHeight w:val="938"/>
        </w:trPr>
        <w:tc>
          <w:tcPr>
            <w:tcW w:w="310" w:type="pct"/>
            <w:shd w:val="clear" w:color="auto" w:fill="auto"/>
            <w:vAlign w:val="center"/>
          </w:tcPr>
          <w:p w14:paraId="500182DC" w14:textId="45DC552B" w:rsidR="00B61097" w:rsidRPr="005D422F"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30BC1C34" w14:textId="2C4B9751" w:rsidR="00B61097" w:rsidRPr="009C2B13" w:rsidRDefault="00B61097" w:rsidP="00B61097">
            <w:pPr>
              <w:spacing w:after="0" w:line="240" w:lineRule="auto"/>
              <w:jc w:val="both"/>
              <w:rPr>
                <w:rFonts w:ascii="Garamond" w:eastAsia="Times New Roman" w:hAnsi="Garamond" w:cs="Times New Roman"/>
                <w:color w:val="000000"/>
                <w:lang w:eastAsia="it-IT"/>
              </w:rPr>
            </w:pPr>
            <w:r w:rsidRPr="009C2B13">
              <w:rPr>
                <w:rFonts w:ascii="Garamond" w:eastAsia="Times New Roman" w:hAnsi="Garamond" w:cs="Times New Roman"/>
                <w:color w:val="000000"/>
                <w:lang w:eastAsia="it-IT"/>
              </w:rPr>
              <w:t xml:space="preserve">In caso di ricorso alla procedura negoziata senza previa pubblicazione del </w:t>
            </w:r>
            <w:r>
              <w:rPr>
                <w:rFonts w:ascii="Garamond" w:eastAsia="Times New Roman" w:hAnsi="Garamond" w:cs="Times New Roman"/>
                <w:color w:val="000000"/>
                <w:lang w:eastAsia="it-IT"/>
              </w:rPr>
              <w:t>Lettera d’invito</w:t>
            </w:r>
            <w:r w:rsidRPr="009C2B13">
              <w:rPr>
                <w:rFonts w:ascii="Garamond" w:eastAsia="Times New Roman" w:hAnsi="Garamond" w:cs="Times New Roman"/>
                <w:color w:val="000000"/>
                <w:lang w:eastAsia="it-IT"/>
              </w:rPr>
              <w:t xml:space="preserve">, a seguito dell’esperimento di una procedura aperta o ristretta in risposta alla quale non è stata presentata alcuna offerta o alcuna offerta appropriata, né alcuna domanda di partecipazione o alcuna domanda di partecipazione appropriata, </w:t>
            </w:r>
            <w:r w:rsidRPr="00867D68">
              <w:rPr>
                <w:rFonts w:ascii="Garamond" w:eastAsia="Times New Roman" w:hAnsi="Garamond" w:cs="Times New Roman"/>
                <w:i/>
                <w:iCs/>
                <w:color w:val="000000"/>
                <w:lang w:eastAsia="it-IT"/>
              </w:rPr>
              <w:t>ex</w:t>
            </w:r>
            <w:r w:rsidRPr="009C2B13">
              <w:rPr>
                <w:rFonts w:ascii="Garamond" w:eastAsia="Times New Roman" w:hAnsi="Garamond" w:cs="Times New Roman"/>
                <w:color w:val="000000"/>
                <w:lang w:eastAsia="it-IT"/>
              </w:rPr>
              <w:t xml:space="preserve"> art. 76, comma 2</w:t>
            </w:r>
            <w:r>
              <w:rPr>
                <w:rFonts w:ascii="Garamond" w:eastAsia="Times New Roman" w:hAnsi="Garamond" w:cs="Times New Roman"/>
                <w:color w:val="000000"/>
                <w:lang w:eastAsia="it-IT"/>
              </w:rPr>
              <w:t>,</w:t>
            </w:r>
            <w:r w:rsidRPr="009C2B13">
              <w:rPr>
                <w:rFonts w:ascii="Garamond" w:eastAsia="Times New Roman" w:hAnsi="Garamond" w:cs="Times New Roman"/>
                <w:color w:val="000000"/>
                <w:lang w:eastAsia="it-IT"/>
              </w:rPr>
              <w:t xml:space="preserve"> lett. a)</w:t>
            </w:r>
            <w:r>
              <w:rPr>
                <w:rFonts w:ascii="Garamond" w:eastAsia="Times New Roman" w:hAnsi="Garamond" w:cs="Times New Roman"/>
                <w:color w:val="000000"/>
                <w:lang w:eastAsia="it-IT"/>
              </w:rPr>
              <w:t>,</w:t>
            </w:r>
            <w:r w:rsidRPr="009C2B1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w:t>
            </w:r>
            <w:r w:rsidRPr="009C2B13">
              <w:rPr>
                <w:rFonts w:ascii="Garamond" w:eastAsia="Times New Roman" w:hAnsi="Garamond" w:cs="Times New Roman"/>
                <w:color w:val="000000"/>
                <w:lang w:eastAsia="it-IT"/>
              </w:rPr>
              <w:t>Lgs. 36/2023:</w:t>
            </w:r>
          </w:p>
          <w:p w14:paraId="3B92B89A" w14:textId="42DEA11D" w:rsidR="00B61097" w:rsidRPr="0052136D" w:rsidRDefault="00B61097" w:rsidP="00B61097">
            <w:pPr>
              <w:pStyle w:val="ListParagraph"/>
              <w:numPr>
                <w:ilvl w:val="0"/>
                <w:numId w:val="22"/>
              </w:numPr>
              <w:spacing w:after="0" w:line="240" w:lineRule="auto"/>
              <w:jc w:val="both"/>
              <w:rPr>
                <w:rFonts w:ascii="Garamond" w:eastAsia="Times New Roman" w:hAnsi="Garamond" w:cs="Times New Roman"/>
                <w:color w:val="000000"/>
                <w:lang w:eastAsia="it-IT"/>
              </w:rPr>
            </w:pPr>
            <w:r w:rsidRPr="0052136D">
              <w:rPr>
                <w:rFonts w:ascii="Garamond" w:eastAsia="Times New Roman" w:hAnsi="Garamond" w:cs="Times New Roman"/>
                <w:color w:val="000000"/>
                <w:lang w:eastAsia="it-IT"/>
              </w:rPr>
              <w:t>le condizioni della precedente procedura andata deserta sono state modificate?</w:t>
            </w:r>
          </w:p>
          <w:p w14:paraId="6506149A" w14:textId="0E7DB3F5" w:rsidR="00B61097" w:rsidRPr="0052136D" w:rsidRDefault="00B61097" w:rsidP="00B61097">
            <w:pPr>
              <w:pStyle w:val="ListParagraph"/>
              <w:numPr>
                <w:ilvl w:val="0"/>
                <w:numId w:val="22"/>
              </w:numPr>
              <w:spacing w:after="0" w:line="240" w:lineRule="auto"/>
              <w:jc w:val="both"/>
              <w:rPr>
                <w:rFonts w:ascii="Garamond" w:eastAsia="Times New Roman" w:hAnsi="Garamond" w:cs="Times New Roman"/>
                <w:color w:val="000000"/>
                <w:lang w:eastAsia="it-IT"/>
              </w:rPr>
            </w:pPr>
            <w:r w:rsidRPr="0052136D">
              <w:rPr>
                <w:rFonts w:ascii="Garamond" w:eastAsia="Times New Roman" w:hAnsi="Garamond" w:cs="Times New Roman"/>
                <w:color w:val="000000"/>
                <w:lang w:eastAsia="it-IT"/>
              </w:rPr>
              <w:t>se sì, le modifiche apportate sono idonee ad avere impatto sulla partecipazione alla gara?</w:t>
            </w:r>
          </w:p>
        </w:tc>
        <w:tc>
          <w:tcPr>
            <w:tcW w:w="129" w:type="pct"/>
            <w:shd w:val="clear" w:color="auto" w:fill="auto"/>
            <w:vAlign w:val="center"/>
          </w:tcPr>
          <w:p w14:paraId="35513A4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8348F1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361C65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902A37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3544E37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2ED83084"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C89A182"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Decisione di contrarre</w:t>
            </w:r>
          </w:p>
          <w:p w14:paraId="0705CF5F"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Lettera di invito</w:t>
            </w:r>
          </w:p>
          <w:p w14:paraId="36CA0654" w14:textId="77777777" w:rsidR="00B61097" w:rsidRPr="00177AE1"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2326A76A" w14:textId="77777777" w:rsidTr="009B30BC">
        <w:trPr>
          <w:trHeight w:val="938"/>
        </w:trPr>
        <w:tc>
          <w:tcPr>
            <w:tcW w:w="310" w:type="pct"/>
            <w:shd w:val="clear" w:color="auto" w:fill="auto"/>
            <w:vAlign w:val="center"/>
          </w:tcPr>
          <w:p w14:paraId="51F76FDF" w14:textId="2E284DE8" w:rsidR="00B61097" w:rsidRPr="005D422F"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464" w:type="pct"/>
            <w:shd w:val="clear" w:color="auto" w:fill="auto"/>
            <w:vAlign w:val="center"/>
          </w:tcPr>
          <w:p w14:paraId="5B4185F6" w14:textId="63DEA4CB" w:rsidR="00B61097" w:rsidRPr="005D422F" w:rsidRDefault="00B61097" w:rsidP="00B61097">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In caso di ricorso alla procedura negoziata senza previa pubblicazione del </w:t>
            </w:r>
            <w:r>
              <w:rPr>
                <w:rFonts w:ascii="Garamond" w:eastAsia="Times New Roman" w:hAnsi="Garamond" w:cs="Times New Roman"/>
                <w:color w:val="000000"/>
                <w:lang w:eastAsia="it-IT"/>
              </w:rPr>
              <w:t>Lettera d’invito</w:t>
            </w:r>
            <w:r w:rsidRPr="005D422F">
              <w:rPr>
                <w:rFonts w:ascii="Garamond" w:eastAsia="Times New Roman" w:hAnsi="Garamond" w:cs="Times New Roman"/>
                <w:color w:val="000000"/>
                <w:lang w:eastAsia="it-IT"/>
              </w:rPr>
              <w:t xml:space="preserve"> </w:t>
            </w:r>
            <w:r w:rsidRPr="00867D68">
              <w:rPr>
                <w:rFonts w:ascii="Garamond" w:eastAsia="Times New Roman" w:hAnsi="Garamond" w:cs="Times New Roman"/>
                <w:i/>
                <w:iCs/>
                <w:color w:val="000000"/>
                <w:lang w:eastAsia="it-IT"/>
              </w:rPr>
              <w:t>ex</w:t>
            </w:r>
            <w:r w:rsidRPr="005D422F">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76</w:t>
            </w:r>
            <w:r w:rsidRPr="005D422F">
              <w:rPr>
                <w:rFonts w:ascii="Garamond" w:eastAsia="Times New Roman" w:hAnsi="Garamond" w:cs="Times New Roman"/>
                <w:color w:val="000000"/>
                <w:lang w:eastAsia="it-IT"/>
              </w:rPr>
              <w:t>, comma 2</w:t>
            </w:r>
            <w:r>
              <w:rPr>
                <w:rFonts w:ascii="Garamond" w:eastAsia="Times New Roman" w:hAnsi="Garamond" w:cs="Times New Roman"/>
                <w:color w:val="000000"/>
                <w:lang w:eastAsia="it-IT"/>
              </w:rPr>
              <w:t>,</w:t>
            </w:r>
            <w:r w:rsidRPr="005D422F">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w:t>
            </w:r>
            <w:r w:rsidRPr="005D422F">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w:t>
            </w:r>
            <w:r w:rsidRPr="005D422F">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w:t>
            </w:r>
            <w:r w:rsidRPr="005D422F">
              <w:rPr>
                <w:rFonts w:ascii="Garamond" w:eastAsia="Times New Roman" w:hAnsi="Garamond" w:cs="Times New Roman"/>
                <w:color w:val="000000"/>
                <w:lang w:eastAsia="it-IT"/>
              </w:rPr>
              <w:t>/2</w:t>
            </w:r>
            <w:r>
              <w:rPr>
                <w:rFonts w:ascii="Garamond" w:eastAsia="Times New Roman" w:hAnsi="Garamond" w:cs="Times New Roman"/>
                <w:color w:val="000000"/>
                <w:lang w:eastAsia="it-IT"/>
              </w:rPr>
              <w:t>023:</w:t>
            </w:r>
          </w:p>
          <w:p w14:paraId="7BBD0F8C" w14:textId="424F14E4" w:rsidR="00B61097" w:rsidRPr="00CD13C5" w:rsidRDefault="00B61097" w:rsidP="00B61097">
            <w:pPr>
              <w:pStyle w:val="ListParagraph"/>
              <w:numPr>
                <w:ilvl w:val="0"/>
                <w:numId w:val="33"/>
              </w:numPr>
              <w:spacing w:after="0" w:line="240" w:lineRule="auto"/>
              <w:jc w:val="both"/>
              <w:rPr>
                <w:rFonts w:ascii="Garamond" w:eastAsia="Times New Roman" w:hAnsi="Garamond" w:cs="Times New Roman"/>
                <w:color w:val="000000"/>
                <w:lang w:eastAsia="it-IT"/>
              </w:rPr>
            </w:pPr>
            <w:r w:rsidRPr="00CD13C5">
              <w:rPr>
                <w:rFonts w:ascii="Garamond" w:eastAsia="Times New Roman" w:hAnsi="Garamond" w:cs="Times New Roman"/>
                <w:color w:val="000000"/>
                <w:lang w:eastAsia="it-IT"/>
              </w:rPr>
              <w:t>l’appalto può essere svolto unicamente da un determinato operatore economico per una delle seguenti ragioni:</w:t>
            </w:r>
          </w:p>
          <w:p w14:paraId="1F0A5E41" w14:textId="1B67B70B" w:rsidR="00B61097" w:rsidRPr="00CD13C5" w:rsidRDefault="00B61097" w:rsidP="00B61097">
            <w:pPr>
              <w:pStyle w:val="ListParagraph"/>
              <w:numPr>
                <w:ilvl w:val="0"/>
                <w:numId w:val="37"/>
              </w:numPr>
              <w:spacing w:after="0" w:line="240" w:lineRule="auto"/>
              <w:jc w:val="both"/>
              <w:rPr>
                <w:rFonts w:ascii="Garamond" w:eastAsia="Times New Roman" w:hAnsi="Garamond" w:cs="Times New Roman"/>
                <w:color w:val="000000"/>
                <w:lang w:eastAsia="it-IT"/>
              </w:rPr>
            </w:pPr>
            <w:r w:rsidRPr="00CD13C5">
              <w:rPr>
                <w:rFonts w:ascii="Garamond" w:eastAsia="Times New Roman" w:hAnsi="Garamond" w:cs="Times New Roman"/>
                <w:color w:val="000000"/>
                <w:lang w:eastAsia="it-IT"/>
              </w:rPr>
              <w:t>lo scopo dell'appalto consiste nella creazione o nell'acquisizione di un'opera d'arte o rappresentazione artistica unica;</w:t>
            </w:r>
          </w:p>
          <w:p w14:paraId="6BCEA8C5" w14:textId="4BA4E7BB" w:rsidR="00B61097" w:rsidRPr="00CD13C5" w:rsidRDefault="00B61097" w:rsidP="00B61097">
            <w:pPr>
              <w:pStyle w:val="ListParagraph"/>
              <w:numPr>
                <w:ilvl w:val="0"/>
                <w:numId w:val="37"/>
              </w:numPr>
              <w:spacing w:after="0" w:line="240" w:lineRule="auto"/>
              <w:jc w:val="both"/>
              <w:rPr>
                <w:rFonts w:ascii="Garamond" w:eastAsia="Times New Roman" w:hAnsi="Garamond" w:cs="Times New Roman"/>
                <w:color w:val="000000"/>
                <w:lang w:eastAsia="it-IT"/>
              </w:rPr>
            </w:pPr>
            <w:r w:rsidRPr="00CD13C5">
              <w:rPr>
                <w:rFonts w:ascii="Garamond" w:eastAsia="Times New Roman" w:hAnsi="Garamond" w:cs="Times New Roman"/>
                <w:color w:val="000000"/>
                <w:lang w:eastAsia="it-IT"/>
              </w:rPr>
              <w:t>la concorrenza è assente per motivi tecnici;</w:t>
            </w:r>
          </w:p>
          <w:p w14:paraId="1C8B9D2C" w14:textId="6266E133" w:rsidR="00B61097" w:rsidRPr="00CD13C5" w:rsidRDefault="00B61097" w:rsidP="00B61097">
            <w:pPr>
              <w:pStyle w:val="ListParagraph"/>
              <w:numPr>
                <w:ilvl w:val="0"/>
                <w:numId w:val="37"/>
              </w:numPr>
              <w:spacing w:after="0" w:line="240" w:lineRule="auto"/>
              <w:jc w:val="both"/>
              <w:rPr>
                <w:rFonts w:ascii="Garamond" w:eastAsia="Times New Roman" w:hAnsi="Garamond" w:cs="Times New Roman"/>
                <w:color w:val="000000"/>
                <w:lang w:eastAsia="it-IT"/>
              </w:rPr>
            </w:pPr>
            <w:r w:rsidRPr="00CD13C5">
              <w:rPr>
                <w:rFonts w:ascii="Garamond" w:eastAsia="Times New Roman" w:hAnsi="Garamond" w:cs="Times New Roman"/>
                <w:color w:val="000000"/>
                <w:lang w:eastAsia="it-IT"/>
              </w:rPr>
              <w:t>iii.</w:t>
            </w:r>
            <w:r w:rsidRPr="00CD13C5">
              <w:rPr>
                <w:rFonts w:ascii="Garamond" w:eastAsia="Times New Roman" w:hAnsi="Garamond" w:cs="Times New Roman"/>
                <w:color w:val="000000"/>
                <w:lang w:eastAsia="it-IT"/>
              </w:rPr>
              <w:tab/>
              <w:t>sussistono ragioni di tutela di diritti esclusivi, inclusi i diritti di proprietà intellettuale.</w:t>
            </w:r>
          </w:p>
        </w:tc>
        <w:tc>
          <w:tcPr>
            <w:tcW w:w="129" w:type="pct"/>
            <w:shd w:val="clear" w:color="auto" w:fill="auto"/>
            <w:vAlign w:val="center"/>
          </w:tcPr>
          <w:p w14:paraId="33196EB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1B81746"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3E61C14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473FB8F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72A7100D"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0E1FB165" w14:textId="77777777" w:rsidR="00B61097" w:rsidRPr="0052136D" w:rsidRDefault="00B61097" w:rsidP="00B61097">
            <w:pPr>
              <w:spacing w:after="0" w:line="240" w:lineRule="auto"/>
              <w:jc w:val="both"/>
              <w:rPr>
                <w:rFonts w:ascii="Garamond" w:eastAsia="Times New Roman" w:hAnsi="Garamond" w:cs="Times New Roman"/>
                <w:lang w:eastAsia="it-IT"/>
              </w:rPr>
            </w:pPr>
          </w:p>
        </w:tc>
        <w:tc>
          <w:tcPr>
            <w:tcW w:w="1150" w:type="pct"/>
            <w:vAlign w:val="center"/>
          </w:tcPr>
          <w:p w14:paraId="04F12C82"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Indagine di mercato</w:t>
            </w:r>
          </w:p>
          <w:p w14:paraId="33452529"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Relazione tecnica/altro documento contenente i risultati dell’istruttoria</w:t>
            </w:r>
          </w:p>
          <w:p w14:paraId="7EAF56A1"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Brevetti o diritti di esclusiva</w:t>
            </w:r>
          </w:p>
          <w:p w14:paraId="70E52E1B" w14:textId="279B5C4B"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Altro</w:t>
            </w:r>
          </w:p>
        </w:tc>
      </w:tr>
      <w:tr w:rsidR="00B61097" w:rsidRPr="00023F3C" w14:paraId="6658583A" w14:textId="77777777" w:rsidTr="009B30BC">
        <w:trPr>
          <w:trHeight w:val="938"/>
        </w:trPr>
        <w:tc>
          <w:tcPr>
            <w:tcW w:w="310" w:type="pct"/>
            <w:shd w:val="clear" w:color="auto" w:fill="auto"/>
            <w:vAlign w:val="center"/>
          </w:tcPr>
          <w:p w14:paraId="7FC86D74" w14:textId="56A7C747" w:rsidR="00B61097" w:rsidRPr="005D422F" w:rsidRDefault="00B61097" w:rsidP="00B61097">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7</w:t>
            </w:r>
          </w:p>
        </w:tc>
        <w:tc>
          <w:tcPr>
            <w:tcW w:w="1464" w:type="pct"/>
            <w:shd w:val="clear" w:color="auto" w:fill="auto"/>
            <w:vAlign w:val="center"/>
          </w:tcPr>
          <w:p w14:paraId="471BFECA" w14:textId="0C49922A" w:rsidR="00B61097" w:rsidRPr="005D422F" w:rsidRDefault="00B61097" w:rsidP="00B61097">
            <w:pPr>
              <w:spacing w:after="0" w:line="240" w:lineRule="auto"/>
              <w:jc w:val="both"/>
              <w:rPr>
                <w:rFonts w:ascii="Garamond" w:eastAsia="Times New Roman" w:hAnsi="Garamond" w:cs="Times New Roman"/>
                <w:color w:val="000000"/>
                <w:lang w:eastAsia="it-IT"/>
              </w:rPr>
            </w:pPr>
            <w:r w:rsidRPr="00FF23A8">
              <w:rPr>
                <w:rFonts w:ascii="Garamond" w:eastAsia="Times New Roman" w:hAnsi="Garamond" w:cs="Times New Roman"/>
                <w:color w:val="000000"/>
                <w:lang w:eastAsia="it-IT"/>
              </w:rPr>
              <w:t xml:space="preserve">In caso di ricorso alla procedura negoziata senza previa pubblicazione del </w:t>
            </w:r>
            <w:r>
              <w:rPr>
                <w:rFonts w:ascii="Garamond" w:eastAsia="Times New Roman" w:hAnsi="Garamond" w:cs="Times New Roman"/>
                <w:color w:val="000000"/>
                <w:lang w:eastAsia="it-IT"/>
              </w:rPr>
              <w:t>Lettera d’invito</w:t>
            </w:r>
            <w:r w:rsidRPr="00FF23A8">
              <w:rPr>
                <w:rFonts w:ascii="Garamond" w:eastAsia="Times New Roman" w:hAnsi="Garamond" w:cs="Times New Roman"/>
                <w:color w:val="000000"/>
                <w:lang w:eastAsia="it-IT"/>
              </w:rPr>
              <w:t xml:space="preserve"> per motivi di estrema urgenza </w:t>
            </w:r>
            <w:r w:rsidRPr="0048396B">
              <w:rPr>
                <w:rFonts w:ascii="Garamond" w:eastAsia="Times New Roman" w:hAnsi="Garamond" w:cs="Times New Roman"/>
                <w:i/>
                <w:iCs/>
                <w:color w:val="000000"/>
                <w:lang w:eastAsia="it-IT"/>
              </w:rPr>
              <w:t>ex</w:t>
            </w:r>
            <w:r w:rsidRPr="00FF23A8">
              <w:rPr>
                <w:rFonts w:ascii="Garamond" w:eastAsia="Times New Roman" w:hAnsi="Garamond" w:cs="Times New Roman"/>
                <w:color w:val="000000"/>
                <w:lang w:eastAsia="it-IT"/>
              </w:rPr>
              <w:t xml:space="preserve"> art. 76, comma 2</w:t>
            </w:r>
            <w:r>
              <w:rPr>
                <w:rFonts w:ascii="Garamond" w:eastAsia="Times New Roman" w:hAnsi="Garamond" w:cs="Times New Roman"/>
                <w:color w:val="000000"/>
                <w:lang w:eastAsia="it-IT"/>
              </w:rPr>
              <w:t>,</w:t>
            </w:r>
            <w:r w:rsidRPr="00FF23A8">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w:t>
            </w:r>
            <w:r w:rsidRPr="00FF23A8">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w:t>
            </w:r>
            <w:r w:rsidRPr="00FF23A8">
              <w:rPr>
                <w:rFonts w:ascii="Garamond" w:eastAsia="Times New Roman" w:hAnsi="Garamond" w:cs="Times New Roman"/>
                <w:color w:val="000000"/>
                <w:lang w:eastAsia="it-IT"/>
              </w:rPr>
              <w:t>Lgs. 36/2023, la motivazione esplicita gli eventi imprevedibili non imputabili alla stazione appaltante e l’incompatibilità con i termini delle procedure aperte, ristrette e competitive con negoziazione?</w:t>
            </w:r>
          </w:p>
        </w:tc>
        <w:tc>
          <w:tcPr>
            <w:tcW w:w="129" w:type="pct"/>
            <w:shd w:val="clear" w:color="auto" w:fill="auto"/>
            <w:vAlign w:val="center"/>
          </w:tcPr>
          <w:p w14:paraId="180A6AC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62AEC3CF"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59AB78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B7FECB7"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75A9228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749EDDE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9FB6586"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Decisione di contrarre</w:t>
            </w:r>
          </w:p>
          <w:p w14:paraId="0DB4A631" w14:textId="3B6A5DA3" w:rsidR="00B61097" w:rsidRPr="00177AE1" w:rsidRDefault="00B61097" w:rsidP="00B61097">
            <w:pPr>
              <w:spacing w:after="0" w:line="240" w:lineRule="auto"/>
              <w:jc w:val="both"/>
              <w:rPr>
                <w:rFonts w:ascii="Garamond" w:eastAsia="Times New Roman" w:hAnsi="Garamond" w:cs="Times New Roman"/>
                <w:color w:val="000000"/>
                <w:lang w:eastAsia="it-IT"/>
              </w:rPr>
            </w:pPr>
            <w:r w:rsidRPr="0052136D">
              <w:rPr>
                <w:rFonts w:ascii="Garamond" w:eastAsia="Times New Roman" w:hAnsi="Garamond" w:cs="Times New Roman"/>
                <w:lang w:eastAsia="it-IT"/>
              </w:rPr>
              <w:t>• Lettera di invito</w:t>
            </w:r>
          </w:p>
        </w:tc>
      </w:tr>
      <w:tr w:rsidR="00B61097" w:rsidRPr="00023F3C" w14:paraId="1BAC177F" w14:textId="77777777" w:rsidTr="009B30BC">
        <w:trPr>
          <w:trHeight w:val="938"/>
        </w:trPr>
        <w:tc>
          <w:tcPr>
            <w:tcW w:w="310" w:type="pct"/>
            <w:shd w:val="clear" w:color="auto" w:fill="auto"/>
            <w:vAlign w:val="center"/>
          </w:tcPr>
          <w:p w14:paraId="1DC6E7EE" w14:textId="1014FEDD" w:rsidR="00B61097" w:rsidRPr="0044027F" w:rsidRDefault="00B61097" w:rsidP="00B61097">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8</w:t>
            </w:r>
          </w:p>
        </w:tc>
        <w:tc>
          <w:tcPr>
            <w:tcW w:w="1464" w:type="pct"/>
            <w:shd w:val="clear" w:color="auto" w:fill="auto"/>
            <w:vAlign w:val="center"/>
          </w:tcPr>
          <w:p w14:paraId="10822983" w14:textId="2A5EC2CB" w:rsidR="00B61097" w:rsidRPr="001652EA" w:rsidRDefault="00B61097" w:rsidP="00B61097">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In caso di ricorso alla procedura negoziata senza previa pubblicazione del </w:t>
            </w:r>
            <w:r>
              <w:rPr>
                <w:rFonts w:ascii="Garamond" w:eastAsia="Times New Roman" w:hAnsi="Garamond" w:cs="Times New Roman"/>
                <w:color w:val="000000"/>
                <w:lang w:eastAsia="it-IT"/>
              </w:rPr>
              <w:t>Lettera d’invito</w:t>
            </w:r>
            <w:r w:rsidRPr="001652EA">
              <w:rPr>
                <w:rFonts w:ascii="Garamond" w:eastAsia="Times New Roman" w:hAnsi="Garamond" w:cs="Times New Roman"/>
                <w:color w:val="000000"/>
                <w:lang w:eastAsia="it-IT"/>
              </w:rPr>
              <w:t xml:space="preserve"> per forniture complementari </w:t>
            </w:r>
            <w:r w:rsidRPr="0048396B">
              <w:rPr>
                <w:rFonts w:ascii="Garamond" w:eastAsia="Times New Roman" w:hAnsi="Garamond" w:cs="Times New Roman"/>
                <w:i/>
                <w:iCs/>
                <w:color w:val="000000"/>
                <w:lang w:eastAsia="it-IT"/>
              </w:rPr>
              <w:t>ex</w:t>
            </w:r>
            <w:r w:rsidRPr="001652EA">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76</w:t>
            </w:r>
            <w:r w:rsidRPr="001652E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1652EA">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w:t>
            </w:r>
            <w:r w:rsidRPr="001652EA">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1652EA">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1652EA">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1652EA">
              <w:rPr>
                <w:rFonts w:ascii="Garamond" w:eastAsia="Times New Roman" w:hAnsi="Garamond" w:cs="Times New Roman"/>
                <w:color w:val="000000"/>
                <w:lang w:eastAsia="it-IT"/>
              </w:rPr>
              <w:t>:</w:t>
            </w:r>
          </w:p>
          <w:p w14:paraId="6C7F4AE2" w14:textId="47D2DCD4" w:rsidR="00B61097" w:rsidRPr="00036302" w:rsidRDefault="00B61097" w:rsidP="00B61097">
            <w:pPr>
              <w:pStyle w:val="ListParagraph"/>
              <w:numPr>
                <w:ilvl w:val="0"/>
                <w:numId w:val="24"/>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il fornitore coincide con quello originario?</w:t>
            </w:r>
          </w:p>
          <w:p w14:paraId="6A68C2D0" w14:textId="021EA3D0" w:rsidR="00B61097" w:rsidRPr="00036302" w:rsidRDefault="00B61097" w:rsidP="00B61097">
            <w:pPr>
              <w:pStyle w:val="ListParagraph"/>
              <w:numPr>
                <w:ilvl w:val="0"/>
                <w:numId w:val="24"/>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lastRenderedPageBreak/>
              <w:t xml:space="preserve">è presente apposita istruttoria che espliciti le ragioni di </w:t>
            </w:r>
            <w:proofErr w:type="gramStart"/>
            <w:r w:rsidRPr="00036302">
              <w:rPr>
                <w:rFonts w:ascii="Garamond" w:eastAsia="Times New Roman" w:hAnsi="Garamond" w:cs="Times New Roman"/>
                <w:color w:val="000000"/>
                <w:lang w:eastAsia="it-IT"/>
              </w:rPr>
              <w:t>complementarietà</w:t>
            </w:r>
            <w:proofErr w:type="gramEnd"/>
            <w:r w:rsidRPr="00036302">
              <w:rPr>
                <w:rFonts w:ascii="Garamond" w:eastAsia="Times New Roman" w:hAnsi="Garamond" w:cs="Times New Roman"/>
                <w:color w:val="000000"/>
                <w:lang w:eastAsia="it-IT"/>
              </w:rPr>
              <w:t xml:space="preserve"> della prestazione?</w:t>
            </w:r>
          </w:p>
          <w:p w14:paraId="50068DC9" w14:textId="7E6AF3C6" w:rsidR="00B61097" w:rsidRPr="00036302" w:rsidRDefault="00B61097" w:rsidP="00B61097">
            <w:pPr>
              <w:pStyle w:val="ListParagraph"/>
              <w:numPr>
                <w:ilvl w:val="0"/>
                <w:numId w:val="24"/>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l’istruttoria esplicita le ragioni per cui il cambiamento del fornitore obbligherebbe la stazione appaltante ad acquistare materiali con caratteristiche tecniche differenti, il cui impiego o la cui manutenzione comporterebbero incompatibilità o difficoltà tecniche sproporzionate?</w:t>
            </w:r>
          </w:p>
          <w:p w14:paraId="267A4B43" w14:textId="27468A2E" w:rsidR="00B61097" w:rsidRPr="00036302" w:rsidRDefault="00B61097" w:rsidP="00B61097">
            <w:pPr>
              <w:pStyle w:val="ListParagraph"/>
              <w:numPr>
                <w:ilvl w:val="0"/>
                <w:numId w:val="24"/>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le motivazioni sono adeguatamente rappresentate nella decisione di contrarre?</w:t>
            </w:r>
          </w:p>
          <w:p w14:paraId="72BC51A0" w14:textId="29740F75" w:rsidR="00B61097" w:rsidRPr="00036302" w:rsidRDefault="00B61097" w:rsidP="00B61097">
            <w:pPr>
              <w:pStyle w:val="ListParagraph"/>
              <w:numPr>
                <w:ilvl w:val="0"/>
                <w:numId w:val="24"/>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 xml:space="preserve">la durata del contratto è contenuta nel limite di </w:t>
            </w:r>
            <w:proofErr w:type="gramStart"/>
            <w:r w:rsidRPr="00036302">
              <w:rPr>
                <w:rFonts w:ascii="Garamond" w:eastAsia="Times New Roman" w:hAnsi="Garamond" w:cs="Times New Roman"/>
                <w:color w:val="000000"/>
                <w:lang w:eastAsia="it-IT"/>
              </w:rPr>
              <w:t>3</w:t>
            </w:r>
            <w:proofErr w:type="gramEnd"/>
            <w:r w:rsidRPr="00036302">
              <w:rPr>
                <w:rFonts w:ascii="Garamond" w:eastAsia="Times New Roman" w:hAnsi="Garamond" w:cs="Times New Roman"/>
                <w:color w:val="000000"/>
                <w:lang w:eastAsia="it-IT"/>
              </w:rPr>
              <w:t xml:space="preserve"> anni?</w:t>
            </w:r>
          </w:p>
        </w:tc>
        <w:tc>
          <w:tcPr>
            <w:tcW w:w="129" w:type="pct"/>
            <w:shd w:val="clear" w:color="auto" w:fill="auto"/>
            <w:vAlign w:val="center"/>
          </w:tcPr>
          <w:p w14:paraId="3D9461DC"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07AFCC8"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09403F8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0D2D53A"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334AB83F"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548B247D"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990EA86"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Decisione di contrarre</w:t>
            </w:r>
          </w:p>
          <w:p w14:paraId="2781FA56" w14:textId="77777777" w:rsidR="00B61097" w:rsidRPr="0052136D" w:rsidRDefault="00B61097" w:rsidP="00B61097">
            <w:pPr>
              <w:spacing w:after="0" w:line="240" w:lineRule="auto"/>
              <w:jc w:val="both"/>
              <w:rPr>
                <w:rFonts w:ascii="Garamond" w:eastAsia="Times New Roman" w:hAnsi="Garamond" w:cs="Times New Roman"/>
                <w:lang w:eastAsia="it-IT"/>
              </w:rPr>
            </w:pPr>
            <w:r w:rsidRPr="0052136D">
              <w:rPr>
                <w:rFonts w:ascii="Garamond" w:eastAsia="Times New Roman" w:hAnsi="Garamond" w:cs="Times New Roman"/>
                <w:lang w:eastAsia="it-IT"/>
              </w:rPr>
              <w:t>• Relazione tecnica/altro documento contenente i risultati dell’istruttoria</w:t>
            </w:r>
          </w:p>
          <w:p w14:paraId="7903A3B4" w14:textId="406D7F0C" w:rsidR="00B61097" w:rsidRPr="00177AE1" w:rsidRDefault="00B61097" w:rsidP="00B61097">
            <w:pPr>
              <w:spacing w:after="0" w:line="240" w:lineRule="auto"/>
              <w:jc w:val="both"/>
              <w:rPr>
                <w:rFonts w:ascii="Garamond" w:eastAsia="Times New Roman" w:hAnsi="Garamond" w:cs="Times New Roman"/>
                <w:color w:val="000000"/>
                <w:lang w:eastAsia="it-IT"/>
              </w:rPr>
            </w:pPr>
            <w:r w:rsidRPr="0052136D">
              <w:rPr>
                <w:rFonts w:ascii="Garamond" w:eastAsia="Times New Roman" w:hAnsi="Garamond" w:cs="Times New Roman"/>
                <w:lang w:eastAsia="it-IT"/>
              </w:rPr>
              <w:t>• Altro</w:t>
            </w:r>
          </w:p>
        </w:tc>
      </w:tr>
      <w:tr w:rsidR="00B61097" w:rsidRPr="00023F3C" w14:paraId="52CC417C" w14:textId="77777777" w:rsidTr="009B30BC">
        <w:trPr>
          <w:trHeight w:val="938"/>
        </w:trPr>
        <w:tc>
          <w:tcPr>
            <w:tcW w:w="310" w:type="pct"/>
            <w:shd w:val="clear" w:color="auto" w:fill="auto"/>
            <w:vAlign w:val="center"/>
          </w:tcPr>
          <w:p w14:paraId="0A62ABAB" w14:textId="1FF5AA52" w:rsidR="00B61097" w:rsidRPr="0044027F" w:rsidRDefault="00B61097" w:rsidP="00B61097">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9</w:t>
            </w:r>
          </w:p>
        </w:tc>
        <w:tc>
          <w:tcPr>
            <w:tcW w:w="1464" w:type="pct"/>
            <w:shd w:val="clear" w:color="auto" w:fill="auto"/>
            <w:vAlign w:val="center"/>
          </w:tcPr>
          <w:p w14:paraId="2E93C602" w14:textId="5C6C3E2A" w:rsidR="00B61097" w:rsidRPr="001652EA" w:rsidRDefault="00B61097" w:rsidP="00B61097">
            <w:pPr>
              <w:spacing w:after="0" w:line="240" w:lineRule="auto"/>
              <w:jc w:val="both"/>
              <w:rPr>
                <w:rFonts w:ascii="Garamond" w:eastAsia="Times New Roman" w:hAnsi="Garamond" w:cs="Times New Roman"/>
                <w:color w:val="000000"/>
                <w:lang w:eastAsia="it-IT"/>
              </w:rPr>
            </w:pPr>
            <w:r w:rsidRPr="001652EA">
              <w:rPr>
                <w:rFonts w:ascii="Garamond" w:eastAsia="Times New Roman" w:hAnsi="Garamond" w:cs="Times New Roman"/>
                <w:color w:val="000000"/>
                <w:lang w:eastAsia="it-IT"/>
              </w:rPr>
              <w:t xml:space="preserve">Nel caso in cui la procedura negoziata senza previa pubblicazione del </w:t>
            </w:r>
            <w:r>
              <w:rPr>
                <w:rFonts w:ascii="Garamond" w:eastAsia="Times New Roman" w:hAnsi="Garamond" w:cs="Times New Roman"/>
                <w:color w:val="000000"/>
                <w:lang w:eastAsia="it-IT"/>
              </w:rPr>
              <w:t>Lettera d’invito</w:t>
            </w:r>
            <w:r w:rsidRPr="001652EA">
              <w:rPr>
                <w:rFonts w:ascii="Garamond" w:eastAsia="Times New Roman" w:hAnsi="Garamond" w:cs="Times New Roman"/>
                <w:color w:val="000000"/>
                <w:lang w:eastAsia="it-IT"/>
              </w:rPr>
              <w:t xml:space="preserve"> di gara sia utilizzata per l’affidamento di nuov</w:t>
            </w:r>
            <w:r>
              <w:rPr>
                <w:rFonts w:ascii="Garamond" w:eastAsia="Times New Roman" w:hAnsi="Garamond" w:cs="Times New Roman"/>
                <w:color w:val="000000"/>
                <w:lang w:eastAsia="it-IT"/>
              </w:rPr>
              <w:t>i</w:t>
            </w:r>
            <w:r w:rsidRPr="001652EA">
              <w:rPr>
                <w:rFonts w:ascii="Garamond" w:eastAsia="Times New Roman" w:hAnsi="Garamond" w:cs="Times New Roman"/>
                <w:color w:val="000000"/>
                <w:lang w:eastAsia="it-IT"/>
              </w:rPr>
              <w:t xml:space="preserve"> servizi consistenti nella ripetizione di</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 xml:space="preserve">servizi analoghi </w:t>
            </w:r>
            <w:r w:rsidRPr="0048396B">
              <w:rPr>
                <w:rFonts w:ascii="Garamond" w:eastAsia="Times New Roman" w:hAnsi="Garamond" w:cs="Times New Roman"/>
                <w:i/>
                <w:iCs/>
                <w:color w:val="000000"/>
                <w:lang w:eastAsia="it-IT"/>
              </w:rPr>
              <w:t>ex</w:t>
            </w:r>
            <w:r w:rsidRPr="001652EA">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76,</w:t>
            </w:r>
            <w:r w:rsidRPr="001652E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6,</w:t>
            </w:r>
            <w:r w:rsidRPr="001652EA">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w:t>
            </w:r>
            <w:r w:rsidRPr="001652EA">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1652EA">
              <w:rPr>
                <w:rFonts w:ascii="Garamond" w:eastAsia="Times New Roman" w:hAnsi="Garamond" w:cs="Times New Roman"/>
                <w:color w:val="000000"/>
                <w:lang w:eastAsia="it-IT"/>
              </w:rPr>
              <w:t>:</w:t>
            </w:r>
          </w:p>
          <w:p w14:paraId="762019BC" w14:textId="683B2C5A" w:rsidR="00B61097" w:rsidRPr="00036302" w:rsidRDefault="00B61097" w:rsidP="00B61097">
            <w:pPr>
              <w:pStyle w:val="ListParagraph"/>
              <w:numPr>
                <w:ilvl w:val="0"/>
                <w:numId w:val="27"/>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i servizi sono conformi ad un progetto base oggetto di un contratto affidato con una procedura di cui all’art. 70, comma 1 del D. Lgs. 36/2023?</w:t>
            </w:r>
          </w:p>
          <w:p w14:paraId="4888276D" w14:textId="275DA4D4" w:rsidR="00B61097" w:rsidRPr="00036302" w:rsidRDefault="00B61097" w:rsidP="00B61097">
            <w:pPr>
              <w:pStyle w:val="ListParagraph"/>
              <w:numPr>
                <w:ilvl w:val="0"/>
                <w:numId w:val="27"/>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 xml:space="preserve">la possibilità di avvalersi della procedura è stata prevista sin dall'avvio del confronto competitivo nella prima operazione e </w:t>
            </w:r>
            <w:r w:rsidRPr="00036302">
              <w:rPr>
                <w:rFonts w:ascii="Garamond" w:eastAsia="Times New Roman" w:hAnsi="Garamond" w:cs="Times New Roman"/>
                <w:color w:val="000000"/>
                <w:lang w:eastAsia="it-IT"/>
              </w:rPr>
              <w:lastRenderedPageBreak/>
              <w:t>l'importo totale previsto per la prestazione dei servizi è computato per la determinazione del valore globale dell'appalto, ai fini dell'applicazione delle soglie di cui all'articolo 14, comma 1?</w:t>
            </w:r>
          </w:p>
          <w:p w14:paraId="06607838" w14:textId="428F8AA2" w:rsidR="00B61097" w:rsidRPr="00036302" w:rsidRDefault="00B61097" w:rsidP="00B61097">
            <w:pPr>
              <w:pStyle w:val="ListParagraph"/>
              <w:numPr>
                <w:ilvl w:val="0"/>
                <w:numId w:val="27"/>
              </w:numPr>
              <w:spacing w:after="0" w:line="240" w:lineRule="auto"/>
              <w:jc w:val="both"/>
              <w:rPr>
                <w:rFonts w:ascii="Garamond" w:eastAsia="Times New Roman" w:hAnsi="Garamond" w:cs="Times New Roman"/>
                <w:color w:val="000000"/>
                <w:lang w:eastAsia="it-IT"/>
              </w:rPr>
            </w:pPr>
            <w:r w:rsidRPr="00036302">
              <w:rPr>
                <w:rFonts w:ascii="Garamond" w:eastAsia="Times New Roman" w:hAnsi="Garamond" w:cs="Times New Roman"/>
                <w:color w:val="000000"/>
                <w:lang w:eastAsia="it-IT"/>
              </w:rPr>
              <w:t>i servizi analoghi sono stati affidati entro tre anni dalla stipulazione del contratto iniziale?</w:t>
            </w:r>
          </w:p>
        </w:tc>
        <w:tc>
          <w:tcPr>
            <w:tcW w:w="129" w:type="pct"/>
            <w:shd w:val="clear" w:color="auto" w:fill="auto"/>
            <w:vAlign w:val="center"/>
          </w:tcPr>
          <w:p w14:paraId="3DF0BF8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7F181CD"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670D7FC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BEC854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0BC202A3"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2CEBD4C6"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8724AD2" w14:textId="77777777" w:rsidR="00B61097" w:rsidRPr="00036302" w:rsidRDefault="00B61097" w:rsidP="00B61097">
            <w:pPr>
              <w:spacing w:after="0" w:line="240" w:lineRule="auto"/>
              <w:jc w:val="both"/>
              <w:rPr>
                <w:rFonts w:ascii="Garamond" w:eastAsia="Times New Roman" w:hAnsi="Garamond" w:cs="Times New Roman"/>
                <w:lang w:eastAsia="it-IT"/>
              </w:rPr>
            </w:pPr>
            <w:r w:rsidRPr="00036302">
              <w:rPr>
                <w:rFonts w:ascii="Garamond" w:eastAsia="Times New Roman" w:hAnsi="Garamond" w:cs="Times New Roman"/>
                <w:lang w:eastAsia="it-IT"/>
              </w:rPr>
              <w:t>• Decisione di contrarre</w:t>
            </w:r>
          </w:p>
          <w:p w14:paraId="43AD3088" w14:textId="77777777" w:rsidR="00B61097" w:rsidRPr="00036302" w:rsidRDefault="00B61097" w:rsidP="00B61097">
            <w:pPr>
              <w:spacing w:after="0" w:line="240" w:lineRule="auto"/>
              <w:jc w:val="both"/>
              <w:rPr>
                <w:rFonts w:ascii="Garamond" w:eastAsia="Times New Roman" w:hAnsi="Garamond" w:cs="Times New Roman"/>
                <w:lang w:eastAsia="it-IT"/>
              </w:rPr>
            </w:pPr>
            <w:r w:rsidRPr="00036302">
              <w:rPr>
                <w:rFonts w:ascii="Garamond" w:eastAsia="Times New Roman" w:hAnsi="Garamond" w:cs="Times New Roman"/>
                <w:lang w:eastAsia="it-IT"/>
              </w:rPr>
              <w:t>• Relazione tecnica/altro documento contenente i risultati dell’istruttoria</w:t>
            </w:r>
          </w:p>
          <w:p w14:paraId="6E4E7430" w14:textId="662BADDE" w:rsidR="00B61097" w:rsidRPr="00036302" w:rsidRDefault="00B61097" w:rsidP="00B61097">
            <w:pPr>
              <w:spacing w:after="0" w:line="240" w:lineRule="auto"/>
              <w:jc w:val="both"/>
              <w:rPr>
                <w:rFonts w:ascii="Garamond" w:eastAsia="Times New Roman" w:hAnsi="Garamond" w:cs="Times New Roman"/>
                <w:lang w:eastAsia="it-IT"/>
              </w:rPr>
            </w:pPr>
            <w:r w:rsidRPr="00036302">
              <w:rPr>
                <w:rFonts w:ascii="Garamond" w:eastAsia="Times New Roman" w:hAnsi="Garamond" w:cs="Times New Roman"/>
                <w:lang w:eastAsia="it-IT"/>
              </w:rPr>
              <w:t>• altro</w:t>
            </w:r>
          </w:p>
        </w:tc>
      </w:tr>
      <w:tr w:rsidR="00B61097" w:rsidRPr="00AF47F5" w14:paraId="4B127D8F" w14:textId="77777777" w:rsidTr="00E7285B">
        <w:trPr>
          <w:trHeight w:val="883"/>
        </w:trPr>
        <w:tc>
          <w:tcPr>
            <w:tcW w:w="310" w:type="pct"/>
            <w:shd w:val="clear" w:color="auto" w:fill="B4C6E7" w:themeFill="accent1" w:themeFillTint="66"/>
            <w:vAlign w:val="center"/>
          </w:tcPr>
          <w:p w14:paraId="1887518E" w14:textId="7EF9CD91" w:rsidR="00B61097" w:rsidRPr="00AF47F5" w:rsidRDefault="00B61097" w:rsidP="00B61097">
            <w:pPr>
              <w:spacing w:after="0" w:line="240" w:lineRule="auto"/>
              <w:jc w:val="center"/>
              <w:rPr>
                <w:rFonts w:ascii="Garamond" w:eastAsia="Times New Roman" w:hAnsi="Garamond" w:cs="Times New Roman"/>
                <w:b/>
                <w:bCs/>
                <w:color w:val="000000"/>
                <w:lang w:eastAsia="it-IT"/>
              </w:rPr>
            </w:pPr>
            <w:r w:rsidRPr="00AF47F5">
              <w:rPr>
                <w:rFonts w:ascii="Garamond" w:eastAsia="Times New Roman" w:hAnsi="Garamond" w:cs="Times New Roman"/>
                <w:b/>
                <w:bCs/>
                <w:color w:val="000000"/>
                <w:lang w:eastAsia="it-IT"/>
              </w:rPr>
              <w:t>G</w:t>
            </w:r>
          </w:p>
        </w:tc>
        <w:tc>
          <w:tcPr>
            <w:tcW w:w="4690" w:type="pct"/>
            <w:gridSpan w:val="8"/>
            <w:shd w:val="clear" w:color="auto" w:fill="B4C6E7" w:themeFill="accent1" w:themeFillTint="66"/>
            <w:vAlign w:val="center"/>
          </w:tcPr>
          <w:p w14:paraId="1E01EDF4" w14:textId="70149BF1" w:rsidR="00B61097" w:rsidRPr="00AF47F5" w:rsidRDefault="00B61097" w:rsidP="00B61097">
            <w:pPr>
              <w:spacing w:after="0" w:line="240" w:lineRule="auto"/>
              <w:jc w:val="center"/>
              <w:rPr>
                <w:rFonts w:ascii="Garamond" w:eastAsia="Times New Roman" w:hAnsi="Garamond" w:cs="Times New Roman"/>
                <w:color w:val="000000"/>
                <w:lang w:eastAsia="it-IT"/>
              </w:rPr>
            </w:pPr>
            <w:r w:rsidRPr="00AF47F5">
              <w:rPr>
                <w:rFonts w:ascii="Garamond" w:eastAsia="Times New Roman" w:hAnsi="Garamond" w:cs="Times New Roman"/>
                <w:b/>
                <w:bCs/>
                <w:color w:val="000000"/>
                <w:lang w:eastAsia="it-IT"/>
              </w:rPr>
              <w:t>Documenti Amministrativi e offerte</w:t>
            </w:r>
          </w:p>
        </w:tc>
      </w:tr>
      <w:tr w:rsidR="00B61097" w:rsidRPr="00023F3C" w14:paraId="1F3881CE" w14:textId="77777777" w:rsidTr="009B30BC">
        <w:trPr>
          <w:trHeight w:val="938"/>
        </w:trPr>
        <w:tc>
          <w:tcPr>
            <w:tcW w:w="310" w:type="pct"/>
            <w:shd w:val="clear" w:color="auto" w:fill="auto"/>
            <w:vAlign w:val="center"/>
          </w:tcPr>
          <w:p w14:paraId="1F67C193" w14:textId="0614B396" w:rsidR="00B61097" w:rsidRPr="00CC6BE6" w:rsidRDefault="00B61097" w:rsidP="00B61097">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6A79EA15" w14:textId="48CFF9A1" w:rsidR="00B61097" w:rsidRPr="0003389A" w:rsidRDefault="00B61097" w:rsidP="00B61097">
            <w:pPr>
              <w:spacing w:after="0" w:line="240" w:lineRule="auto"/>
              <w:jc w:val="both"/>
              <w:rPr>
                <w:rFonts w:ascii="Garamond" w:eastAsia="Times New Roman" w:hAnsi="Garamond" w:cs="Times New Roman"/>
                <w:color w:val="000000"/>
                <w:lang w:eastAsia="it-IT"/>
              </w:rPr>
            </w:pPr>
            <w:r w:rsidRPr="0003389A">
              <w:rPr>
                <w:rFonts w:ascii="Garamond" w:eastAsia="Times New Roman" w:hAnsi="Garamond" w:cs="Times New Roman"/>
                <w:color w:val="000000"/>
                <w:lang w:eastAsia="it-IT"/>
              </w:rPr>
              <w:t>I concorrenti hanno presentato il Documento di gara Unico Europeo (DGUE) ai sensi dell’art. 91 del D. Lgs. 36/2023?</w:t>
            </w:r>
          </w:p>
        </w:tc>
        <w:tc>
          <w:tcPr>
            <w:tcW w:w="129" w:type="pct"/>
            <w:shd w:val="clear" w:color="auto" w:fill="auto"/>
            <w:vAlign w:val="center"/>
          </w:tcPr>
          <w:p w14:paraId="621624FB"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695ACF8"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37195C4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2F5830E"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7FB18E9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0BCA6C73"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47B5BE3" w14:textId="77777777" w:rsidR="00B61097"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3B81135E" w:rsidR="00B61097" w:rsidRPr="002555BF"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prequalifica</w:t>
            </w:r>
          </w:p>
        </w:tc>
      </w:tr>
      <w:tr w:rsidR="00B61097" w:rsidRPr="00023F3C" w14:paraId="76A6F8A1" w14:textId="77777777" w:rsidTr="009B30BC">
        <w:trPr>
          <w:trHeight w:val="938"/>
        </w:trPr>
        <w:tc>
          <w:tcPr>
            <w:tcW w:w="310" w:type="pct"/>
            <w:shd w:val="clear" w:color="auto" w:fill="auto"/>
            <w:vAlign w:val="center"/>
          </w:tcPr>
          <w:p w14:paraId="55D86D10" w14:textId="17B97AAD" w:rsidR="00B61097" w:rsidRPr="0044027F" w:rsidRDefault="00B61097" w:rsidP="00B61097">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464" w:type="pct"/>
            <w:shd w:val="clear" w:color="auto" w:fill="auto"/>
            <w:vAlign w:val="center"/>
          </w:tcPr>
          <w:p w14:paraId="6ADCE59D" w14:textId="5D839323" w:rsidR="00B61097" w:rsidRDefault="00B61097" w:rsidP="00B61097">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29" w:type="pct"/>
            <w:shd w:val="clear" w:color="auto" w:fill="auto"/>
            <w:vAlign w:val="center"/>
          </w:tcPr>
          <w:p w14:paraId="376199F8"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365C8228"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15FA01D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32454C4"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13D4B2A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04E091F5"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1D592A4" w14:textId="55825AC1" w:rsidR="00B61097" w:rsidRPr="00622822"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77777777" w:rsidR="00B61097" w:rsidRPr="002555BF"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1097" w:rsidRPr="00023F3C" w14:paraId="78992FA1" w14:textId="77777777" w:rsidTr="009B30BC">
        <w:trPr>
          <w:trHeight w:val="457"/>
        </w:trPr>
        <w:tc>
          <w:tcPr>
            <w:tcW w:w="310" w:type="pct"/>
            <w:shd w:val="clear" w:color="auto" w:fill="auto"/>
            <w:vAlign w:val="center"/>
          </w:tcPr>
          <w:p w14:paraId="7E9D2162" w14:textId="41A40A13" w:rsidR="00B61097" w:rsidRPr="0044027F" w:rsidRDefault="00B61097" w:rsidP="00B61097">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464" w:type="pct"/>
            <w:shd w:val="clear" w:color="auto" w:fill="auto"/>
            <w:vAlign w:val="center"/>
          </w:tcPr>
          <w:p w14:paraId="6D16B831" w14:textId="561ECD8D" w:rsidR="00B61097" w:rsidRDefault="00B61097" w:rsidP="00B61097">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 xml:space="preserve">Sono state aperte in seduta pubblica alla data specificata dalla </w:t>
            </w:r>
            <w:r>
              <w:rPr>
                <w:rFonts w:ascii="Garamond" w:eastAsia="Times New Roman" w:hAnsi="Garamond" w:cs="Times New Roman"/>
                <w:color w:val="000000"/>
                <w:lang w:eastAsia="it-IT"/>
              </w:rPr>
              <w:t>Stazione Appaltante</w:t>
            </w:r>
            <w:r w:rsidRPr="00B33E69">
              <w:rPr>
                <w:rFonts w:ascii="Garamond" w:eastAsia="Times New Roman" w:hAnsi="Garamond" w:cs="Times New Roman"/>
                <w:color w:val="000000"/>
                <w:lang w:eastAsia="it-IT"/>
              </w:rPr>
              <w:t xml:space="preserv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B61097" w:rsidRPr="00F664CC" w:rsidRDefault="00B61097" w:rsidP="00B61097">
            <w:pPr>
              <w:pStyle w:val="ListParagraph"/>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B61097" w:rsidRDefault="00B61097" w:rsidP="00B61097">
            <w:pPr>
              <w:pStyle w:val="ListParagraph"/>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t>Offerta tecnica</w:t>
            </w:r>
            <w:r>
              <w:rPr>
                <w:rFonts w:ascii="Garamond" w:eastAsia="Times New Roman" w:hAnsi="Garamond" w:cs="Times New Roman"/>
                <w:color w:val="000000"/>
                <w:lang w:eastAsia="it-IT"/>
              </w:rPr>
              <w:t xml:space="preserve"> (se prevista)? </w:t>
            </w:r>
          </w:p>
          <w:p w14:paraId="28027435" w14:textId="679A1F7F" w:rsidR="00B61097" w:rsidRPr="00EE2927" w:rsidRDefault="00B61097" w:rsidP="00B61097">
            <w:pPr>
              <w:pStyle w:val="ListParagraph"/>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29" w:type="pct"/>
            <w:shd w:val="clear" w:color="auto" w:fill="auto"/>
            <w:vAlign w:val="center"/>
          </w:tcPr>
          <w:p w14:paraId="0130DF10"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AEA1911"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221" w:type="pct"/>
            <w:shd w:val="clear" w:color="auto" w:fill="auto"/>
            <w:vAlign w:val="center"/>
          </w:tcPr>
          <w:p w14:paraId="11D07A1F"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5E9A725"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619" w:type="pct"/>
            <w:shd w:val="clear" w:color="auto" w:fill="auto"/>
            <w:vAlign w:val="center"/>
          </w:tcPr>
          <w:p w14:paraId="6FBDEC89" w14:textId="77777777" w:rsidR="00B61097" w:rsidRPr="00683A3C" w:rsidRDefault="00B61097" w:rsidP="00B61097">
            <w:pPr>
              <w:spacing w:after="0" w:line="240" w:lineRule="auto"/>
              <w:jc w:val="both"/>
              <w:rPr>
                <w:rFonts w:ascii="Garamond" w:eastAsia="Times New Roman" w:hAnsi="Garamond" w:cs="Times New Roman"/>
                <w:b/>
                <w:bCs/>
                <w:color w:val="000000"/>
                <w:highlight w:val="yellow"/>
                <w:lang w:eastAsia="it-IT"/>
              </w:rPr>
            </w:pPr>
          </w:p>
        </w:tc>
        <w:tc>
          <w:tcPr>
            <w:tcW w:w="399" w:type="pct"/>
          </w:tcPr>
          <w:p w14:paraId="405D55F1"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4284984" w14:textId="12D2E9BB" w:rsidR="00B61097" w:rsidRPr="002555BF"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1097" w:rsidRPr="00023F3C" w14:paraId="43BEC9E6" w14:textId="77777777" w:rsidTr="005148BB">
        <w:trPr>
          <w:trHeight w:val="837"/>
        </w:trPr>
        <w:tc>
          <w:tcPr>
            <w:tcW w:w="310" w:type="pct"/>
            <w:shd w:val="clear" w:color="auto" w:fill="B4C6E7" w:themeFill="accent1" w:themeFillTint="66"/>
            <w:vAlign w:val="center"/>
          </w:tcPr>
          <w:p w14:paraId="27C53C29" w14:textId="2B63D8B3" w:rsidR="00B61097" w:rsidRPr="00683A3C" w:rsidRDefault="00B61097" w:rsidP="00B61097">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H</w:t>
            </w:r>
          </w:p>
        </w:tc>
        <w:tc>
          <w:tcPr>
            <w:tcW w:w="4690" w:type="pct"/>
            <w:gridSpan w:val="8"/>
            <w:shd w:val="clear" w:color="auto" w:fill="B4C6E7" w:themeFill="accent1" w:themeFillTint="66"/>
            <w:vAlign w:val="center"/>
          </w:tcPr>
          <w:p w14:paraId="08FBECF9" w14:textId="4DF67DC9" w:rsidR="00B61097" w:rsidRPr="005148BB" w:rsidRDefault="00B61097" w:rsidP="00B61097">
            <w:pPr>
              <w:spacing w:after="0" w:line="240" w:lineRule="auto"/>
              <w:jc w:val="center"/>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r>
      <w:tr w:rsidR="00B61097" w:rsidRPr="00023F3C" w14:paraId="77A279C3" w14:textId="77777777" w:rsidTr="009B30BC">
        <w:trPr>
          <w:trHeight w:val="1417"/>
        </w:trPr>
        <w:tc>
          <w:tcPr>
            <w:tcW w:w="310" w:type="pct"/>
            <w:shd w:val="clear" w:color="auto" w:fill="auto"/>
            <w:vAlign w:val="center"/>
          </w:tcPr>
          <w:p w14:paraId="0954544D" w14:textId="3B8A1351"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0332B5FD" w14:textId="42104ED1"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D. Lgs. 36/2023)?</w:t>
            </w:r>
          </w:p>
        </w:tc>
        <w:tc>
          <w:tcPr>
            <w:tcW w:w="129" w:type="pct"/>
            <w:shd w:val="clear" w:color="auto" w:fill="auto"/>
            <w:vAlign w:val="center"/>
          </w:tcPr>
          <w:p w14:paraId="4B7C5E3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D380DE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A7A02D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5CB4393" w14:textId="77777777" w:rsidR="00B61097" w:rsidRPr="000D5884"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41EC3FF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8EB4D4D"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F5E86E1" w14:textId="554FFEB5" w:rsidR="00B61097" w:rsidRPr="007026AC"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428909B2" w14:textId="4F3A269B" w:rsidR="00B61097"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w:t>
            </w:r>
            <w:r w:rsidRPr="007026AC">
              <w:rPr>
                <w:rFonts w:ascii="Garamond" w:eastAsia="Times New Roman" w:hAnsi="Garamond" w:cs="Times New Roman"/>
                <w:color w:val="000000"/>
                <w:lang w:eastAsia="it-IT"/>
              </w:rPr>
              <w:t xml:space="preserve">ventuale regolamento interno alla </w:t>
            </w:r>
            <w:r>
              <w:rPr>
                <w:rFonts w:ascii="Garamond" w:eastAsia="Times New Roman" w:hAnsi="Garamond" w:cs="Times New Roman"/>
                <w:color w:val="000000"/>
                <w:lang w:eastAsia="it-IT"/>
              </w:rPr>
              <w:t>Stazione Appaltante</w:t>
            </w:r>
            <w:r w:rsidRPr="007026AC">
              <w:rPr>
                <w:rFonts w:ascii="Garamond" w:eastAsia="Times New Roman" w:hAnsi="Garamond" w:cs="Times New Roman"/>
                <w:color w:val="000000"/>
                <w:lang w:eastAsia="it-IT"/>
              </w:rPr>
              <w:t xml:space="preserve"> </w:t>
            </w:r>
          </w:p>
          <w:p w14:paraId="1E45D253" w14:textId="68507FCB" w:rsidR="00B61097" w:rsidRPr="00023F3C" w:rsidRDefault="00B61097" w:rsidP="00B61097">
            <w:pPr>
              <w:spacing w:after="0" w:line="240" w:lineRule="auto"/>
              <w:jc w:val="both"/>
              <w:rPr>
                <w:rFonts w:ascii="Garamond" w:eastAsia="Times New Roman" w:hAnsi="Garamond" w:cs="Times New Roman"/>
                <w:color w:val="000000"/>
                <w:lang w:eastAsia="it-IT"/>
              </w:rPr>
            </w:pPr>
            <w:r w:rsidRPr="000D5884">
              <w:rPr>
                <w:rFonts w:ascii="Garamond" w:eastAsia="Times New Roman" w:hAnsi="Garamond" w:cs="Times New Roman"/>
                <w:color w:val="000000"/>
                <w:lang w:eastAsia="it-IT"/>
              </w:rPr>
              <w:t xml:space="preserve">• </w:t>
            </w:r>
          </w:p>
        </w:tc>
      </w:tr>
      <w:tr w:rsidR="00B61097" w:rsidRPr="00023F3C" w14:paraId="75F53BA5" w14:textId="77777777" w:rsidTr="009B30BC">
        <w:trPr>
          <w:trHeight w:val="1417"/>
        </w:trPr>
        <w:tc>
          <w:tcPr>
            <w:tcW w:w="310" w:type="pct"/>
            <w:shd w:val="clear" w:color="auto" w:fill="auto"/>
            <w:vAlign w:val="center"/>
          </w:tcPr>
          <w:p w14:paraId="2F263636" w14:textId="77777777"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67FA7F92" w14:textId="77E11F2E"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D. Lgs. 36/2023)</w:t>
            </w:r>
            <w:r w:rsidRPr="00E37BC7">
              <w:rPr>
                <w:rFonts w:ascii="Garamond" w:eastAsia="Times New Roman" w:hAnsi="Garamond" w:cs="Times New Roman"/>
                <w:color w:val="000000"/>
                <w:lang w:eastAsia="it-IT"/>
              </w:rPr>
              <w:t>?</w:t>
            </w:r>
          </w:p>
        </w:tc>
        <w:tc>
          <w:tcPr>
            <w:tcW w:w="129" w:type="pct"/>
            <w:shd w:val="clear" w:color="auto" w:fill="auto"/>
            <w:vAlign w:val="center"/>
          </w:tcPr>
          <w:p w14:paraId="0FFCE89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473DFE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C6205E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78925FD" w14:textId="77777777" w:rsidR="00B61097" w:rsidRPr="00910E31"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6383482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293CA015"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E73FA14" w14:textId="624C6E9E" w:rsidR="00B61097" w:rsidRPr="007026AC" w:rsidRDefault="00B61097" w:rsidP="00B61097">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7FB92A00" w:rsidR="00B61097" w:rsidRPr="00023F3C"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5F697C7E" w14:textId="77777777" w:rsidTr="009B30BC">
        <w:trPr>
          <w:trHeight w:val="599"/>
        </w:trPr>
        <w:tc>
          <w:tcPr>
            <w:tcW w:w="310" w:type="pct"/>
            <w:shd w:val="clear" w:color="auto" w:fill="auto"/>
            <w:vAlign w:val="center"/>
          </w:tcPr>
          <w:p w14:paraId="5BFE246D" w14:textId="591011FD" w:rsidR="00B61097" w:rsidRDefault="00B61097" w:rsidP="00B61097">
            <w:pPr>
              <w:spacing w:after="0" w:line="240" w:lineRule="auto"/>
              <w:jc w:val="center"/>
              <w:rPr>
                <w:rFonts w:ascii="Garamond" w:eastAsia="Times New Roman" w:hAnsi="Garamond" w:cs="Times New Roman"/>
                <w:color w:val="000000"/>
                <w:lang w:eastAsia="it-IT"/>
              </w:rPr>
            </w:pPr>
            <w:r w:rsidRPr="00FA1874">
              <w:rPr>
                <w:rFonts w:ascii="Garamond" w:eastAsia="Times New Roman" w:hAnsi="Garamond" w:cs="Times New Roman"/>
                <w:color w:val="000000"/>
                <w:lang w:eastAsia="it-IT"/>
              </w:rPr>
              <w:t>3</w:t>
            </w:r>
          </w:p>
        </w:tc>
        <w:tc>
          <w:tcPr>
            <w:tcW w:w="1464" w:type="pct"/>
            <w:shd w:val="clear" w:color="auto" w:fill="auto"/>
            <w:vAlign w:val="center"/>
          </w:tcPr>
          <w:p w14:paraId="3FC84157" w14:textId="01126C44" w:rsidR="00B61097" w:rsidRDefault="00B61097" w:rsidP="00B61097">
            <w:pPr>
              <w:spacing w:after="0" w:line="240" w:lineRule="auto"/>
              <w:jc w:val="both"/>
              <w:rPr>
                <w:rFonts w:ascii="Garamond" w:eastAsia="Times New Roman" w:hAnsi="Garamond" w:cs="Times New Roman"/>
                <w:color w:val="000000"/>
                <w:lang w:eastAsia="it-IT"/>
              </w:rPr>
            </w:pPr>
            <w:r w:rsidRPr="00231718">
              <w:rPr>
                <w:rFonts w:ascii="Garamond" w:eastAsia="Times New Roman" w:hAnsi="Garamond" w:cs="Times New Roman"/>
                <w:lang w:eastAsia="it-IT"/>
              </w:rPr>
              <w:t xml:space="preserve">Sono state acquisite le dichiarazioni attestanti l’insussistenza di cause di </w:t>
            </w:r>
            <w:proofErr w:type="gramStart"/>
            <w:r w:rsidRPr="00231718">
              <w:rPr>
                <w:rFonts w:ascii="Garamond" w:eastAsia="Times New Roman" w:hAnsi="Garamond" w:cs="Times New Roman"/>
                <w:lang w:eastAsia="it-IT"/>
              </w:rPr>
              <w:t>incompatibilità  dei</w:t>
            </w:r>
            <w:proofErr w:type="gramEnd"/>
            <w:r w:rsidRPr="00231718">
              <w:rPr>
                <w:rFonts w:ascii="Garamond" w:eastAsia="Times New Roman" w:hAnsi="Garamond" w:cs="Times New Roman"/>
                <w:lang w:eastAsia="it-IT"/>
              </w:rPr>
              <w:t xml:space="preserve"> componenti</w:t>
            </w:r>
            <w:r w:rsidRPr="00FA1874">
              <w:rPr>
                <w:rFonts w:ascii="Garamond" w:eastAsia="Times New Roman" w:hAnsi="Garamond" w:cs="Times New Roman"/>
                <w:lang w:eastAsia="it-IT"/>
              </w:rPr>
              <w:t xml:space="preserve"> della </w:t>
            </w:r>
            <w:r>
              <w:rPr>
                <w:rFonts w:ascii="Garamond" w:eastAsia="Times New Roman" w:hAnsi="Garamond" w:cs="Times New Roman"/>
                <w:lang w:eastAsia="it-IT"/>
              </w:rPr>
              <w:t>C</w:t>
            </w:r>
            <w:r w:rsidRPr="00FA1874">
              <w:rPr>
                <w:rFonts w:ascii="Garamond" w:eastAsia="Times New Roman" w:hAnsi="Garamond" w:cs="Times New Roman"/>
                <w:lang w:eastAsia="it-IT"/>
              </w:rPr>
              <w:t>ommissione giudicatrice?</w:t>
            </w:r>
          </w:p>
        </w:tc>
        <w:tc>
          <w:tcPr>
            <w:tcW w:w="129" w:type="pct"/>
            <w:shd w:val="clear" w:color="auto" w:fill="auto"/>
            <w:vAlign w:val="center"/>
          </w:tcPr>
          <w:p w14:paraId="007F74F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B79AE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2BD471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25DEA4E" w14:textId="77777777" w:rsidR="00B61097" w:rsidRPr="00910E31"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57F28E76" w14:textId="1E8B1E5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9614B15" w14:textId="77777777" w:rsidR="00B61097" w:rsidRPr="00AD0ADE"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138B3B2A" w14:textId="1A988553" w:rsidR="00B61097" w:rsidRPr="00891063" w:rsidRDefault="00B61097" w:rsidP="00B61097">
            <w:pPr>
              <w:spacing w:after="0" w:line="240" w:lineRule="auto"/>
              <w:jc w:val="both"/>
              <w:rPr>
                <w:rFonts w:ascii="Garamond" w:eastAsia="Times New Roman" w:hAnsi="Garamond" w:cs="Times New Roman"/>
                <w:lang w:eastAsia="it-IT"/>
              </w:rPr>
            </w:pPr>
            <w:r w:rsidRPr="00FA1874">
              <w:rPr>
                <w:rFonts w:ascii="Garamond" w:eastAsia="Times New Roman" w:hAnsi="Garamond" w:cs="Times New Roman"/>
                <w:lang w:eastAsia="it-IT"/>
              </w:rPr>
              <w:t>• Dichiarazioni di insussistenza di cause di incompatibilità</w:t>
            </w:r>
          </w:p>
        </w:tc>
      </w:tr>
      <w:tr w:rsidR="00B61097" w:rsidRPr="00023F3C" w14:paraId="01D2765E" w14:textId="77777777" w:rsidTr="009B30BC">
        <w:trPr>
          <w:trHeight w:val="842"/>
        </w:trPr>
        <w:tc>
          <w:tcPr>
            <w:tcW w:w="310" w:type="pct"/>
            <w:shd w:val="clear" w:color="auto" w:fill="auto"/>
            <w:vAlign w:val="center"/>
          </w:tcPr>
          <w:p w14:paraId="0C44A388" w14:textId="7C9F9A66"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64" w:type="pct"/>
            <w:shd w:val="clear" w:color="auto" w:fill="auto"/>
            <w:vAlign w:val="center"/>
          </w:tcPr>
          <w:p w14:paraId="40423CE6" w14:textId="39FBE122" w:rsidR="00B61097" w:rsidRDefault="00B61097" w:rsidP="00B61097">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w:t>
            </w:r>
            <w:r>
              <w:rPr>
                <w:rFonts w:ascii="Garamond" w:eastAsia="Times New Roman" w:hAnsi="Garamond" w:cs="Times New Roman"/>
                <w:color w:val="000000"/>
                <w:lang w:eastAsia="it-IT"/>
              </w:rPr>
              <w:t xml:space="preserve">gli </w:t>
            </w:r>
            <w:r w:rsidRPr="009C0FFC">
              <w:rPr>
                <w:rFonts w:ascii="Garamond" w:eastAsia="Times New Roman" w:hAnsi="Garamond" w:cs="Times New Roman"/>
                <w:color w:val="000000"/>
                <w:lang w:eastAsia="it-IT"/>
              </w:rPr>
              <w:t>art</w:t>
            </w:r>
            <w:r>
              <w:rPr>
                <w:rFonts w:ascii="Garamond" w:eastAsia="Times New Roman" w:hAnsi="Garamond" w:cs="Times New Roman"/>
                <w:color w:val="000000"/>
                <w:lang w:eastAsia="it-IT"/>
              </w:rPr>
              <w:t>t</w:t>
            </w:r>
            <w:r w:rsidRPr="009C0FF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94 e 95</w:t>
            </w:r>
            <w:r w:rsidRPr="009C0FFC">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9C0FF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9C0FFC">
              <w:rPr>
                <w:rFonts w:ascii="Garamond" w:eastAsia="Times New Roman" w:hAnsi="Garamond" w:cs="Times New Roman"/>
                <w:color w:val="000000"/>
                <w:lang w:eastAsia="it-IT"/>
              </w:rPr>
              <w:t>?</w:t>
            </w:r>
          </w:p>
        </w:tc>
        <w:tc>
          <w:tcPr>
            <w:tcW w:w="129" w:type="pct"/>
            <w:shd w:val="clear" w:color="auto" w:fill="auto"/>
            <w:vAlign w:val="center"/>
          </w:tcPr>
          <w:p w14:paraId="482708A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C83413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2689E7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293EE6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02DE804" w14:textId="5A5091D9"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tcPr>
          <w:p w14:paraId="14B367C8"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72F038CB" w14:textId="77777777" w:rsidR="00B61097" w:rsidRDefault="00B61097" w:rsidP="00B61097">
            <w:pPr>
              <w:spacing w:after="0" w:line="240" w:lineRule="auto"/>
              <w:jc w:val="both"/>
              <w:rPr>
                <w:rFonts w:ascii="Garamond" w:eastAsia="Times New Roman" w:hAnsi="Garamond" w:cs="Times New Roman"/>
                <w:color w:val="000000"/>
                <w:lang w:eastAsia="it-IT"/>
              </w:rPr>
            </w:pPr>
            <w:r w:rsidRPr="00953936">
              <w:rPr>
                <w:rFonts w:ascii="Garamond" w:eastAsia="Times New Roman" w:hAnsi="Garamond" w:cs="Times New Roman"/>
                <w:color w:val="000000"/>
                <w:lang w:eastAsia="it-IT"/>
              </w:rPr>
              <w:t>• Verbali RUP/Seggio di Gara/ commissione</w:t>
            </w:r>
          </w:p>
          <w:p w14:paraId="2C2AD24C" w14:textId="6691C7A1" w:rsidR="00B61097" w:rsidRPr="00023F3C"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083C05BD" w14:textId="77777777" w:rsidTr="009B30BC">
        <w:trPr>
          <w:trHeight w:val="1487"/>
        </w:trPr>
        <w:tc>
          <w:tcPr>
            <w:tcW w:w="310" w:type="pct"/>
            <w:shd w:val="clear" w:color="auto" w:fill="auto"/>
            <w:vAlign w:val="center"/>
          </w:tcPr>
          <w:p w14:paraId="1D6E461A" w14:textId="6C866FCC"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464" w:type="pct"/>
            <w:shd w:val="clear" w:color="auto" w:fill="auto"/>
            <w:vAlign w:val="center"/>
          </w:tcPr>
          <w:p w14:paraId="2A8420B3" w14:textId="7C7BD726" w:rsidR="00B61097" w:rsidRPr="00ED38B9"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xml:space="preserve">È stato necessario avviare in corso di gara il procedimento di cui all’art. 101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 (“</w:t>
            </w:r>
            <w:r>
              <w:rPr>
                <w:rFonts w:ascii="Garamond" w:eastAsia="Times New Roman" w:hAnsi="Garamond" w:cs="Times New Roman"/>
                <w:lang w:eastAsia="it-IT"/>
              </w:rPr>
              <w:t>S</w:t>
            </w:r>
            <w:r w:rsidRPr="001A50CC">
              <w:rPr>
                <w:rFonts w:ascii="Garamond" w:eastAsia="Times New Roman" w:hAnsi="Garamond" w:cs="Times New Roman"/>
                <w:lang w:eastAsia="it-IT"/>
              </w:rPr>
              <w:t>occorso istruttorio”)?</w:t>
            </w:r>
          </w:p>
        </w:tc>
        <w:tc>
          <w:tcPr>
            <w:tcW w:w="129" w:type="pct"/>
            <w:shd w:val="clear" w:color="auto" w:fill="auto"/>
            <w:vAlign w:val="center"/>
          </w:tcPr>
          <w:p w14:paraId="29E730E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54C829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33983F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088504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187D954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24D5C16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76A689C" w14:textId="35F9CF41" w:rsidR="00B61097" w:rsidRPr="00622822"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Verbali RUP/Seggio di Gara/ commissione</w:t>
            </w:r>
          </w:p>
        </w:tc>
      </w:tr>
      <w:tr w:rsidR="00B61097" w:rsidRPr="00023F3C" w14:paraId="3DA87B58" w14:textId="77777777" w:rsidTr="009B30BC">
        <w:trPr>
          <w:trHeight w:val="1166"/>
        </w:trPr>
        <w:tc>
          <w:tcPr>
            <w:tcW w:w="310" w:type="pct"/>
            <w:shd w:val="clear" w:color="auto" w:fill="auto"/>
            <w:vAlign w:val="center"/>
          </w:tcPr>
          <w:p w14:paraId="6E79FD13" w14:textId="4B90D398"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64" w:type="pct"/>
            <w:shd w:val="clear" w:color="auto" w:fill="auto"/>
            <w:vAlign w:val="center"/>
          </w:tcPr>
          <w:p w14:paraId="58EEB00C" w14:textId="0E12460A" w:rsidR="00B61097" w:rsidRPr="00ED38B9"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Nel caso in cui sia stati avviato, il procedimento di “</w:t>
            </w:r>
            <w:r>
              <w:rPr>
                <w:rFonts w:ascii="Garamond" w:eastAsia="Times New Roman" w:hAnsi="Garamond" w:cs="Times New Roman"/>
                <w:lang w:eastAsia="it-IT"/>
              </w:rPr>
              <w:t>S</w:t>
            </w:r>
            <w:r w:rsidRPr="001A50CC">
              <w:rPr>
                <w:rFonts w:ascii="Garamond" w:eastAsia="Times New Roman" w:hAnsi="Garamond" w:cs="Times New Roman"/>
                <w:lang w:eastAsia="it-IT"/>
              </w:rPr>
              <w:t xml:space="preserve">occorso istruttorio” è stato svolto in conformità con all’art. 101 del </w:t>
            </w:r>
            <w:r>
              <w:rPr>
                <w:rFonts w:ascii="Garamond" w:eastAsia="Times New Roman" w:hAnsi="Garamond" w:cs="Times New Roman"/>
                <w:lang w:eastAsia="it-IT"/>
              </w:rPr>
              <w:t>D</w:t>
            </w:r>
            <w:r w:rsidRPr="001A50CC">
              <w:rPr>
                <w:rFonts w:ascii="Garamond" w:eastAsia="Times New Roman" w:hAnsi="Garamond" w:cs="Times New Roman"/>
                <w:lang w:eastAsia="it-IT"/>
              </w:rPr>
              <w:t>.</w:t>
            </w:r>
            <w:r>
              <w:rPr>
                <w:rFonts w:ascii="Garamond" w:eastAsia="Times New Roman" w:hAnsi="Garamond" w:cs="Times New Roman"/>
                <w:lang w:eastAsia="it-IT"/>
              </w:rPr>
              <w:t xml:space="preserve"> L</w:t>
            </w:r>
            <w:r w:rsidRPr="001A50CC">
              <w:rPr>
                <w:rFonts w:ascii="Garamond" w:eastAsia="Times New Roman" w:hAnsi="Garamond" w:cs="Times New Roman"/>
                <w:lang w:eastAsia="it-IT"/>
              </w:rPr>
              <w:t>gs. 36/2023?</w:t>
            </w:r>
          </w:p>
        </w:tc>
        <w:tc>
          <w:tcPr>
            <w:tcW w:w="129" w:type="pct"/>
            <w:shd w:val="clear" w:color="auto" w:fill="auto"/>
            <w:vAlign w:val="center"/>
          </w:tcPr>
          <w:p w14:paraId="57E496C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779F32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C72710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D67844A"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374B0E2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56AF75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03A074AB" w14:textId="6E159C9C" w:rsidR="00B61097" w:rsidRPr="00622822" w:rsidRDefault="00B61097" w:rsidP="00B61097">
            <w:pPr>
              <w:spacing w:after="0" w:line="240" w:lineRule="auto"/>
              <w:jc w:val="both"/>
              <w:rPr>
                <w:rFonts w:ascii="Garamond" w:eastAsia="Times New Roman" w:hAnsi="Garamond" w:cs="Times New Roman"/>
                <w:color w:val="000000"/>
                <w:lang w:eastAsia="it-IT"/>
              </w:rPr>
            </w:pPr>
            <w:r w:rsidRPr="001A50CC">
              <w:rPr>
                <w:rFonts w:ascii="Garamond" w:eastAsia="Times New Roman" w:hAnsi="Garamond" w:cs="Times New Roman"/>
                <w:lang w:eastAsia="it-IT"/>
              </w:rPr>
              <w:t>• Verbali RUP/Seggio di Gara/ commissione</w:t>
            </w:r>
          </w:p>
        </w:tc>
      </w:tr>
      <w:tr w:rsidR="00B61097" w:rsidRPr="00023F3C" w14:paraId="7401868E" w14:textId="77777777" w:rsidTr="009B30BC">
        <w:trPr>
          <w:trHeight w:val="947"/>
        </w:trPr>
        <w:tc>
          <w:tcPr>
            <w:tcW w:w="310" w:type="pct"/>
            <w:shd w:val="clear" w:color="auto" w:fill="auto"/>
            <w:vAlign w:val="center"/>
          </w:tcPr>
          <w:p w14:paraId="5A82BB1A" w14:textId="22FA8698"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64" w:type="pct"/>
            <w:shd w:val="clear" w:color="auto" w:fill="auto"/>
            <w:vAlign w:val="center"/>
          </w:tcPr>
          <w:p w14:paraId="6450C968" w14:textId="77777777" w:rsidR="00B61097" w:rsidRPr="00B33E69" w:rsidRDefault="00B61097" w:rsidP="00B61097">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29" w:type="pct"/>
            <w:shd w:val="clear" w:color="auto" w:fill="auto"/>
            <w:vAlign w:val="center"/>
          </w:tcPr>
          <w:p w14:paraId="0A4B896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E2059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FFE146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16282E0"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5B4386B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EE1CDD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894154A" w14:textId="3B8F98B3" w:rsidR="00B61097" w:rsidRPr="00023F3C"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B61097" w:rsidRPr="00023F3C" w14:paraId="4CA026C3" w14:textId="77777777" w:rsidTr="009B30BC">
        <w:trPr>
          <w:trHeight w:val="1563"/>
        </w:trPr>
        <w:tc>
          <w:tcPr>
            <w:tcW w:w="310" w:type="pct"/>
            <w:shd w:val="clear" w:color="auto" w:fill="auto"/>
            <w:vAlign w:val="center"/>
          </w:tcPr>
          <w:p w14:paraId="7993EB25" w14:textId="3F761B9B" w:rsidR="00B61097" w:rsidRDefault="00B61097" w:rsidP="00B61097">
            <w:pPr>
              <w:spacing w:after="0" w:line="240" w:lineRule="auto"/>
              <w:jc w:val="center"/>
              <w:rPr>
                <w:rFonts w:ascii="Garamond" w:eastAsia="Times New Roman" w:hAnsi="Garamond" w:cs="Times New Roman"/>
                <w:color w:val="000000"/>
                <w:lang w:eastAsia="it-IT"/>
              </w:rPr>
            </w:pPr>
            <w:r w:rsidRPr="00122C8F">
              <w:rPr>
                <w:rFonts w:ascii="Garamond" w:eastAsia="Times New Roman" w:hAnsi="Garamond" w:cs="Times New Roman"/>
                <w:lang w:eastAsia="it-IT"/>
              </w:rPr>
              <w:t>8</w:t>
            </w:r>
          </w:p>
        </w:tc>
        <w:tc>
          <w:tcPr>
            <w:tcW w:w="1464" w:type="pct"/>
            <w:shd w:val="clear" w:color="auto" w:fill="auto"/>
            <w:vAlign w:val="center"/>
          </w:tcPr>
          <w:p w14:paraId="7C4320CF" w14:textId="77777777" w:rsidR="00B61097" w:rsidRPr="00003D82" w:rsidRDefault="00B61097" w:rsidP="00B61097">
            <w:pPr>
              <w:jc w:val="both"/>
              <w:rPr>
                <w:rFonts w:ascii="Garamond" w:eastAsia="Times New Roman" w:hAnsi="Garamond" w:cs="Times New Roman"/>
                <w:lang w:eastAsia="it-IT"/>
              </w:rPr>
            </w:pPr>
            <w:r w:rsidRPr="00003D82">
              <w:rPr>
                <w:rFonts w:ascii="Garamond" w:eastAsia="Times New Roman" w:hAnsi="Garamond" w:cs="Times New Roman"/>
                <w:lang w:eastAsia="it-IT"/>
              </w:rPr>
              <w:t>Nel caso sia stato applicato il criterio del miglior rapporto qualità/prezzo, la valutazione dell'offerta economica ha tenuto conto</w:t>
            </w:r>
          </w:p>
          <w:p w14:paraId="364EAF11" w14:textId="77777777" w:rsidR="00B61097" w:rsidRPr="00003D82" w:rsidRDefault="00B61097" w:rsidP="00B61097">
            <w:pPr>
              <w:pStyle w:val="ListParagraph"/>
              <w:numPr>
                <w:ilvl w:val="0"/>
                <w:numId w:val="39"/>
              </w:numPr>
              <w:jc w:val="both"/>
              <w:rPr>
                <w:rFonts w:ascii="Garamond" w:eastAsia="Times New Roman" w:hAnsi="Garamond" w:cs="Times New Roman"/>
                <w:lang w:eastAsia="it-IT"/>
              </w:rPr>
            </w:pPr>
            <w:r w:rsidRPr="00003D82">
              <w:rPr>
                <w:rFonts w:ascii="Garamond" w:eastAsia="Times New Roman" w:hAnsi="Garamond" w:cs="Times New Roman"/>
                <w:lang w:eastAsia="it-IT"/>
              </w:rPr>
              <w:t>che le offerte</w:t>
            </w:r>
            <w:r>
              <w:rPr>
                <w:rFonts w:ascii="Garamond" w:eastAsia="Times New Roman" w:hAnsi="Garamond" w:cs="Times New Roman"/>
                <w:lang w:eastAsia="it-IT"/>
              </w:rPr>
              <w:t>:</w:t>
            </w:r>
          </w:p>
          <w:p w14:paraId="039F0169" w14:textId="77777777" w:rsidR="00B61097" w:rsidRPr="00003D82" w:rsidRDefault="00B61097" w:rsidP="00B61097">
            <w:pPr>
              <w:pStyle w:val="ListParagraph"/>
              <w:numPr>
                <w:ilvl w:val="0"/>
                <w:numId w:val="38"/>
              </w:numPr>
              <w:jc w:val="both"/>
              <w:rPr>
                <w:rFonts w:ascii="Garamond" w:eastAsia="Times New Roman" w:hAnsi="Garamond" w:cs="Times New Roman"/>
                <w:lang w:eastAsia="it-IT"/>
              </w:rPr>
            </w:pPr>
            <w:r>
              <w:rPr>
                <w:rFonts w:ascii="Garamond" w:eastAsia="Times New Roman" w:hAnsi="Garamond" w:cs="Times New Roman"/>
                <w:lang w:eastAsia="it-IT"/>
              </w:rPr>
              <w:t>s</w:t>
            </w:r>
            <w:r w:rsidRPr="00003D82">
              <w:rPr>
                <w:rFonts w:ascii="Garamond" w:eastAsia="Times New Roman" w:hAnsi="Garamond" w:cs="Times New Roman"/>
                <w:lang w:eastAsia="it-IT"/>
              </w:rPr>
              <w:t xml:space="preserve">iano inferiori alla base di gara, </w:t>
            </w:r>
          </w:p>
          <w:p w14:paraId="0605D1A5" w14:textId="77777777" w:rsidR="00B61097" w:rsidRPr="00003D82" w:rsidRDefault="00B61097" w:rsidP="00B61097">
            <w:pPr>
              <w:pStyle w:val="ListParagraph"/>
              <w:numPr>
                <w:ilvl w:val="0"/>
                <w:numId w:val="38"/>
              </w:numPr>
              <w:jc w:val="both"/>
              <w:rPr>
                <w:rFonts w:ascii="Garamond" w:eastAsia="Times New Roman" w:hAnsi="Garamond" w:cs="Times New Roman"/>
                <w:lang w:eastAsia="it-IT"/>
              </w:rPr>
            </w:pPr>
            <w:r w:rsidRPr="00003D82">
              <w:rPr>
                <w:rFonts w:ascii="Garamond" w:eastAsia="Times New Roman" w:hAnsi="Garamond" w:cs="Times New Roman"/>
                <w:lang w:eastAsia="it-IT"/>
              </w:rPr>
              <w:t xml:space="preserve">non condizionate, </w:t>
            </w:r>
          </w:p>
          <w:p w14:paraId="284858C5" w14:textId="77777777" w:rsidR="00B61097" w:rsidRPr="00003D82" w:rsidRDefault="00B61097" w:rsidP="00B61097">
            <w:pPr>
              <w:pStyle w:val="ListParagraph"/>
              <w:numPr>
                <w:ilvl w:val="0"/>
                <w:numId w:val="38"/>
              </w:numPr>
              <w:jc w:val="both"/>
              <w:rPr>
                <w:rFonts w:ascii="Garamond" w:eastAsia="Times New Roman" w:hAnsi="Garamond" w:cs="Times New Roman"/>
                <w:lang w:eastAsia="it-IT"/>
              </w:rPr>
            </w:pPr>
            <w:r w:rsidRPr="00003D82">
              <w:rPr>
                <w:rFonts w:ascii="Garamond" w:eastAsia="Times New Roman" w:hAnsi="Garamond" w:cs="Times New Roman"/>
                <w:lang w:eastAsia="it-IT"/>
              </w:rPr>
              <w:t>non parziali?</w:t>
            </w:r>
          </w:p>
          <w:p w14:paraId="3020CDF3" w14:textId="7A824F63" w:rsidR="00B61097" w:rsidRPr="00DE4FBF" w:rsidRDefault="00B61097" w:rsidP="00B61097">
            <w:pPr>
              <w:pStyle w:val="ListParagraph"/>
              <w:numPr>
                <w:ilvl w:val="0"/>
                <w:numId w:val="39"/>
              </w:numPr>
              <w:jc w:val="both"/>
              <w:rPr>
                <w:rFonts w:ascii="Garamond" w:eastAsia="Times New Roman" w:hAnsi="Garamond" w:cs="Times New Roman"/>
                <w:color w:val="000000"/>
                <w:lang w:eastAsia="it-IT"/>
              </w:rPr>
            </w:pPr>
            <w:r w:rsidRPr="00DE4FBF">
              <w:rPr>
                <w:rFonts w:ascii="Garamond" w:eastAsia="Times New Roman" w:hAnsi="Garamond" w:cs="Times New Roman"/>
                <w:lang w:eastAsia="it-IT"/>
              </w:rPr>
              <w:t>dei criteri indicati nel disciplinare?</w:t>
            </w:r>
          </w:p>
        </w:tc>
        <w:tc>
          <w:tcPr>
            <w:tcW w:w="129" w:type="pct"/>
            <w:shd w:val="clear" w:color="auto" w:fill="auto"/>
            <w:vAlign w:val="center"/>
          </w:tcPr>
          <w:p w14:paraId="7589A58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C9F824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E56E3F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6738D2F"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49FC2ED9" w14:textId="742C704A"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CF01E00"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18D78AE2" w14:textId="77777777" w:rsidR="00B61097" w:rsidRDefault="00B61097" w:rsidP="00B61097">
            <w:pPr>
              <w:spacing w:after="0" w:line="240" w:lineRule="auto"/>
              <w:jc w:val="both"/>
              <w:rPr>
                <w:rFonts w:ascii="Garamond" w:eastAsia="Times New Roman" w:hAnsi="Garamond" w:cs="Times New Roman"/>
                <w:color w:val="000000"/>
                <w:lang w:eastAsia="it-IT"/>
              </w:rPr>
            </w:pPr>
            <w:r w:rsidRPr="00122C8F">
              <w:rPr>
                <w:rFonts w:ascii="Garamond" w:eastAsia="Times New Roman" w:hAnsi="Garamond" w:cs="Times New Roman"/>
                <w:color w:val="000000"/>
                <w:lang w:eastAsia="it-IT"/>
              </w:rPr>
              <w:t>• Verbali RUP/Seggio di Gara/ commissione</w:t>
            </w:r>
          </w:p>
          <w:p w14:paraId="6A9E0E86" w14:textId="1FF7C7E3" w:rsidR="00B61097" w:rsidRPr="00622822" w:rsidRDefault="00B61097" w:rsidP="00B61097">
            <w:pPr>
              <w:spacing w:after="0" w:line="240" w:lineRule="auto"/>
              <w:jc w:val="both"/>
              <w:rPr>
                <w:rFonts w:ascii="Garamond" w:eastAsia="Times New Roman" w:hAnsi="Garamond" w:cs="Times New Roman"/>
                <w:color w:val="000000"/>
                <w:lang w:eastAsia="it-IT"/>
              </w:rPr>
            </w:pPr>
            <w:r w:rsidRPr="00122C8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B61097" w:rsidRPr="00023F3C" w14:paraId="00F4258D" w14:textId="77777777" w:rsidTr="009B30BC">
        <w:trPr>
          <w:trHeight w:val="1094"/>
        </w:trPr>
        <w:tc>
          <w:tcPr>
            <w:tcW w:w="310" w:type="pct"/>
            <w:shd w:val="clear" w:color="auto" w:fill="auto"/>
            <w:vAlign w:val="center"/>
          </w:tcPr>
          <w:p w14:paraId="27BB207D" w14:textId="288AB364"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464" w:type="pct"/>
            <w:shd w:val="clear" w:color="auto" w:fill="auto"/>
            <w:vAlign w:val="center"/>
          </w:tcPr>
          <w:p w14:paraId="50DA334D" w14:textId="50290E79" w:rsidR="00B61097" w:rsidRPr="00CC6BE6" w:rsidRDefault="00B61097" w:rsidP="00B61097">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CC6BE6">
              <w:rPr>
                <w:rFonts w:ascii="Garamond" w:eastAsia="Times New Roman" w:hAnsi="Garamond" w:cs="Times New Roman"/>
                <w:color w:val="000000"/>
                <w:lang w:eastAsia="it-IT"/>
              </w:rPr>
              <w:t xml:space="preserve"> ha stabilito un tetto massimo per il punteggio economico entro il limite del 30 per cento </w:t>
            </w:r>
            <w:r>
              <w:rPr>
                <w:rFonts w:ascii="Garamond" w:eastAsia="Times New Roman" w:hAnsi="Garamond" w:cs="Times New Roman"/>
                <w:color w:val="000000"/>
                <w:lang w:eastAsia="it-IT"/>
              </w:rPr>
              <w:t>(art. 108, comma 4, D. Lgs. 36/2023</w:t>
            </w:r>
            <w:r w:rsidRPr="00CC6BE6">
              <w:rPr>
                <w:rFonts w:ascii="Garamond" w:eastAsia="Times New Roman" w:hAnsi="Garamond" w:cs="Times New Roman"/>
                <w:color w:val="000000"/>
                <w:lang w:eastAsia="it-IT"/>
              </w:rPr>
              <w:t>)?</w:t>
            </w:r>
          </w:p>
        </w:tc>
        <w:tc>
          <w:tcPr>
            <w:tcW w:w="129" w:type="pct"/>
            <w:shd w:val="clear" w:color="auto" w:fill="auto"/>
            <w:vAlign w:val="center"/>
          </w:tcPr>
          <w:p w14:paraId="5DEEED4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211DAF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20A209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990A85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0D9775C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9D850B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068D975B" w14:textId="4E136A0D" w:rsidR="00B61097" w:rsidRPr="00622822"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1097" w:rsidRPr="00023F3C" w14:paraId="5248B3E6" w14:textId="77777777" w:rsidTr="009B30BC">
        <w:trPr>
          <w:trHeight w:val="1030"/>
        </w:trPr>
        <w:tc>
          <w:tcPr>
            <w:tcW w:w="310" w:type="pct"/>
            <w:shd w:val="clear" w:color="auto" w:fill="auto"/>
            <w:vAlign w:val="center"/>
          </w:tcPr>
          <w:p w14:paraId="31513B22" w14:textId="4E0FE276" w:rsidR="00B61097" w:rsidRPr="00023F3C"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64" w:type="pct"/>
            <w:shd w:val="clear" w:color="auto" w:fill="auto"/>
            <w:vAlign w:val="center"/>
          </w:tcPr>
          <w:p w14:paraId="145667F0" w14:textId="6E6583AE" w:rsidR="00B61097" w:rsidRPr="00023F3C" w:rsidRDefault="00B61097" w:rsidP="00B61097">
            <w:pPr>
              <w:spacing w:after="0" w:line="240" w:lineRule="auto"/>
              <w:jc w:val="both"/>
              <w:rPr>
                <w:rFonts w:ascii="Garamond" w:eastAsia="Times New Roman" w:hAnsi="Garamond" w:cs="Times New Roman"/>
                <w:color w:val="000000"/>
                <w:lang w:eastAsia="it-IT"/>
              </w:rPr>
            </w:pPr>
            <w:r w:rsidRPr="00EB1051">
              <w:rPr>
                <w:rFonts w:ascii="Garamond" w:eastAsia="Times New Roman" w:hAnsi="Garamond" w:cs="Times New Roman"/>
                <w:lang w:eastAsia="it-IT"/>
              </w:rPr>
              <w:t>È stata verificata la congruità</w:t>
            </w:r>
            <w:r>
              <w:rPr>
                <w:rFonts w:ascii="Garamond" w:eastAsia="Times New Roman" w:hAnsi="Garamond" w:cs="Times New Roman"/>
                <w:lang w:eastAsia="it-IT"/>
              </w:rPr>
              <w:t xml:space="preserve"> </w:t>
            </w:r>
            <w:r w:rsidRPr="00EB1051">
              <w:rPr>
                <w:rFonts w:ascii="Garamond" w:eastAsia="Times New Roman" w:hAnsi="Garamond" w:cs="Times New Roman"/>
                <w:lang w:eastAsia="it-IT"/>
              </w:rPr>
              <w:t xml:space="preserve">delle offerte risultate anormalmente basse in linea con quanto disposto dall’art. 110 del </w:t>
            </w:r>
            <w:r>
              <w:rPr>
                <w:rFonts w:ascii="Garamond" w:eastAsia="Times New Roman" w:hAnsi="Garamond" w:cs="Times New Roman"/>
                <w:lang w:eastAsia="it-IT"/>
              </w:rPr>
              <w:t>D</w:t>
            </w:r>
            <w:r w:rsidRPr="00EB1051">
              <w:rPr>
                <w:rFonts w:ascii="Garamond" w:eastAsia="Times New Roman" w:hAnsi="Garamond" w:cs="Times New Roman"/>
                <w:lang w:eastAsia="it-IT"/>
              </w:rPr>
              <w:t>.</w:t>
            </w:r>
            <w:r>
              <w:rPr>
                <w:rFonts w:ascii="Garamond" w:eastAsia="Times New Roman" w:hAnsi="Garamond" w:cs="Times New Roman"/>
                <w:lang w:eastAsia="it-IT"/>
              </w:rPr>
              <w:t xml:space="preserve"> L</w:t>
            </w:r>
            <w:r w:rsidRPr="00EB1051">
              <w:rPr>
                <w:rFonts w:ascii="Garamond" w:eastAsia="Times New Roman" w:hAnsi="Garamond" w:cs="Times New Roman"/>
                <w:lang w:eastAsia="it-IT"/>
              </w:rPr>
              <w:t>gs. 36/2023 e sono stati comunicati in seduta pubblica gli esiti del procedimento di verifica dell’anomalia di tali offerte?</w:t>
            </w:r>
          </w:p>
        </w:tc>
        <w:tc>
          <w:tcPr>
            <w:tcW w:w="129" w:type="pct"/>
            <w:shd w:val="clear" w:color="auto" w:fill="auto"/>
            <w:vAlign w:val="center"/>
          </w:tcPr>
          <w:p w14:paraId="51DE265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2717FA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73B1A0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1639CF8"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4589C90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BC0C809"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1F22A2C" w14:textId="1D83849C" w:rsidR="00B61097" w:rsidRPr="00023F3C"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D65460">
              <w:rPr>
                <w:rFonts w:ascii="Garamond" w:eastAsia="Times New Roman" w:hAnsi="Garamond" w:cs="Times New Roman"/>
                <w:color w:val="000000"/>
                <w:lang w:eastAsia="it-IT"/>
              </w:rPr>
              <w:t xml:space="preserve"> </w:t>
            </w:r>
          </w:p>
        </w:tc>
      </w:tr>
      <w:tr w:rsidR="00B61097" w:rsidRPr="00023F3C" w14:paraId="4A7C4A91" w14:textId="77777777" w:rsidTr="009B30BC">
        <w:trPr>
          <w:trHeight w:val="1030"/>
        </w:trPr>
        <w:tc>
          <w:tcPr>
            <w:tcW w:w="310" w:type="pct"/>
            <w:shd w:val="clear" w:color="auto" w:fill="auto"/>
            <w:vAlign w:val="center"/>
          </w:tcPr>
          <w:p w14:paraId="37DC5A44" w14:textId="46D9F3EC"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64" w:type="pct"/>
            <w:shd w:val="clear" w:color="auto" w:fill="auto"/>
            <w:vAlign w:val="center"/>
          </w:tcPr>
          <w:p w14:paraId="1B7FA970" w14:textId="4348ADDD" w:rsidR="00B61097" w:rsidRDefault="00B61097" w:rsidP="00B61097">
            <w:pPr>
              <w:spacing w:after="0" w:line="240" w:lineRule="auto"/>
              <w:jc w:val="both"/>
              <w:rPr>
                <w:rFonts w:ascii="Garamond" w:eastAsia="Times New Roman" w:hAnsi="Garamond" w:cs="Times New Roman"/>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FF303B">
              <w:rPr>
                <w:rFonts w:ascii="Garamond" w:eastAsia="Times New Roman" w:hAnsi="Garamond" w:cs="Times New Roman"/>
                <w:color w:val="000000"/>
                <w:lang w:eastAsia="it-IT"/>
              </w:rPr>
              <w:t xml:space="preserv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110, comma 5</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B84D2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B84D2B">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29" w:type="pct"/>
            <w:shd w:val="clear" w:color="auto" w:fill="auto"/>
            <w:vAlign w:val="center"/>
          </w:tcPr>
          <w:p w14:paraId="0B93F32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5E3BAE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C859E9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D22A216"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74B0F08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366F867"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308FA6F" w14:textId="7C329247" w:rsidR="00B61097" w:rsidRPr="00622822"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B61097" w:rsidRPr="00023F3C" w14:paraId="5DD0B029" w14:textId="77777777" w:rsidTr="009B30BC">
        <w:trPr>
          <w:trHeight w:val="988"/>
        </w:trPr>
        <w:tc>
          <w:tcPr>
            <w:tcW w:w="310" w:type="pct"/>
            <w:shd w:val="clear" w:color="auto" w:fill="auto"/>
            <w:vAlign w:val="center"/>
          </w:tcPr>
          <w:p w14:paraId="04BA825D" w14:textId="33470E08"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464" w:type="pct"/>
            <w:shd w:val="clear" w:color="auto" w:fill="auto"/>
            <w:vAlign w:val="center"/>
          </w:tcPr>
          <w:p w14:paraId="0227E6C8" w14:textId="2DEB34C2" w:rsidR="00B61097" w:rsidRPr="00023F3C" w:rsidRDefault="00B61097" w:rsidP="00B61097">
            <w:pPr>
              <w:spacing w:after="0" w:line="240" w:lineRule="auto"/>
              <w:jc w:val="both"/>
              <w:rPr>
                <w:rFonts w:ascii="Garamond" w:hAnsi="Garamond"/>
              </w:rPr>
            </w:pPr>
            <w:r w:rsidRPr="003F1EE7">
              <w:rPr>
                <w:rFonts w:ascii="Garamond" w:eastAsia="Times New Roman" w:hAnsi="Garamond" w:cs="Times New Roman"/>
                <w:lang w:eastAsia="it-IT"/>
              </w:rPr>
              <w:t xml:space="preserve">In caso di ricorso all’avvalimento, è stato verificato il rispetto </w:t>
            </w:r>
            <w:r w:rsidRPr="00AD2133">
              <w:rPr>
                <w:rFonts w:ascii="Garamond" w:eastAsia="Times New Roman" w:hAnsi="Garamond" w:cs="Times New Roman"/>
                <w:lang w:eastAsia="it-IT"/>
              </w:rPr>
              <w:t xml:space="preserve">di quanto stabilito dall’art. 104 del </w:t>
            </w:r>
            <w:r>
              <w:rPr>
                <w:rFonts w:ascii="Garamond" w:eastAsia="Times New Roman" w:hAnsi="Garamond" w:cs="Times New Roman"/>
                <w:lang w:eastAsia="it-IT"/>
              </w:rPr>
              <w:t>D</w:t>
            </w:r>
            <w:r w:rsidRPr="00AD2133">
              <w:rPr>
                <w:rFonts w:ascii="Garamond" w:eastAsia="Times New Roman" w:hAnsi="Garamond" w:cs="Times New Roman"/>
                <w:lang w:eastAsia="it-IT"/>
              </w:rPr>
              <w:t>.</w:t>
            </w:r>
            <w:r>
              <w:rPr>
                <w:rFonts w:ascii="Garamond" w:eastAsia="Times New Roman" w:hAnsi="Garamond" w:cs="Times New Roman"/>
                <w:lang w:eastAsia="it-IT"/>
              </w:rPr>
              <w:t xml:space="preserve"> L</w:t>
            </w:r>
            <w:r w:rsidRPr="00AD2133">
              <w:rPr>
                <w:rFonts w:ascii="Garamond" w:eastAsia="Times New Roman" w:hAnsi="Garamond" w:cs="Times New Roman"/>
                <w:lang w:eastAsia="it-IT"/>
              </w:rPr>
              <w:t>gs. 36/2023?</w:t>
            </w:r>
          </w:p>
        </w:tc>
        <w:tc>
          <w:tcPr>
            <w:tcW w:w="129" w:type="pct"/>
            <w:shd w:val="clear" w:color="auto" w:fill="auto"/>
            <w:vAlign w:val="center"/>
          </w:tcPr>
          <w:p w14:paraId="4FCD349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67459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AE5C6A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C03378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32772D9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vAlign w:val="center"/>
          </w:tcPr>
          <w:p w14:paraId="211C95A8"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0A6106B" w14:textId="3353C959" w:rsidR="00B61097" w:rsidRPr="00622822" w:rsidRDefault="00B61097" w:rsidP="00B61097">
            <w:pPr>
              <w:spacing w:after="0" w:line="240" w:lineRule="auto"/>
              <w:jc w:val="both"/>
              <w:rPr>
                <w:rFonts w:ascii="Garamond" w:eastAsia="Times New Roman" w:hAnsi="Garamond" w:cs="Times New Roman"/>
                <w:color w:val="000000"/>
                <w:lang w:eastAsia="it-IT"/>
              </w:rPr>
            </w:pPr>
            <w:r w:rsidRPr="005F00CA">
              <w:rPr>
                <w:rFonts w:ascii="Garamond" w:eastAsia="Times New Roman" w:hAnsi="Garamond" w:cs="Times New Roman"/>
                <w:lang w:eastAsia="it-IT"/>
              </w:rPr>
              <w:t>• Documentazione relativa all’avvalimento</w:t>
            </w:r>
          </w:p>
        </w:tc>
      </w:tr>
      <w:tr w:rsidR="00B61097" w:rsidRPr="00023F3C" w14:paraId="2E5837F2" w14:textId="77777777" w:rsidTr="009B30BC">
        <w:trPr>
          <w:trHeight w:val="988"/>
        </w:trPr>
        <w:tc>
          <w:tcPr>
            <w:tcW w:w="310" w:type="pct"/>
            <w:shd w:val="clear" w:color="auto" w:fill="auto"/>
            <w:vAlign w:val="center"/>
          </w:tcPr>
          <w:p w14:paraId="27EE6EC1" w14:textId="2D881DF1" w:rsidR="00B61097" w:rsidRPr="00023F3C"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464" w:type="pct"/>
            <w:shd w:val="clear" w:color="auto" w:fill="auto"/>
            <w:vAlign w:val="center"/>
          </w:tcPr>
          <w:p w14:paraId="011BB776" w14:textId="7BA13C97" w:rsidR="00B61097" w:rsidRPr="00023F3C" w:rsidRDefault="00B61097" w:rsidP="00B61097">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dell’art. 17, comma 5 del D. Lgs. 36/2023?</w:t>
            </w:r>
          </w:p>
        </w:tc>
        <w:tc>
          <w:tcPr>
            <w:tcW w:w="129" w:type="pct"/>
            <w:shd w:val="clear" w:color="auto" w:fill="auto"/>
            <w:vAlign w:val="center"/>
          </w:tcPr>
          <w:p w14:paraId="1F59D91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4E9720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AC7C6B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D1EAED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1D2785C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7031493"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0447C10" w14:textId="3185D9D9" w:rsidR="00B61097" w:rsidRPr="00023F3C"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B61097" w:rsidRPr="00023F3C" w14:paraId="11C45C30" w14:textId="77777777" w:rsidTr="009B30BC">
        <w:trPr>
          <w:trHeight w:val="975"/>
        </w:trPr>
        <w:tc>
          <w:tcPr>
            <w:tcW w:w="310" w:type="pct"/>
            <w:shd w:val="clear" w:color="auto" w:fill="auto"/>
            <w:vAlign w:val="center"/>
          </w:tcPr>
          <w:p w14:paraId="0967195B" w14:textId="1EF463BB" w:rsidR="00B61097" w:rsidRPr="00023F3C"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464" w:type="pct"/>
            <w:shd w:val="clear" w:color="auto" w:fill="auto"/>
            <w:vAlign w:val="center"/>
          </w:tcPr>
          <w:p w14:paraId="534474C0" w14:textId="19D38577" w:rsidR="00B61097" w:rsidRPr="00023F3C" w:rsidRDefault="00B61097" w:rsidP="00B61097">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29" w:type="pct"/>
            <w:shd w:val="clear" w:color="auto" w:fill="auto"/>
            <w:vAlign w:val="center"/>
          </w:tcPr>
          <w:p w14:paraId="043FC88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DFD00F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E1BE63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F5BB2EE"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5BEC445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2EC4F9E1"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2062BA0" w14:textId="77AC79AE" w:rsidR="00B61097" w:rsidRPr="00023F3C"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B61097" w:rsidRPr="00023F3C" w14:paraId="0E0AA667" w14:textId="77777777" w:rsidTr="009B30BC">
        <w:trPr>
          <w:trHeight w:val="975"/>
        </w:trPr>
        <w:tc>
          <w:tcPr>
            <w:tcW w:w="310" w:type="pct"/>
            <w:shd w:val="clear" w:color="auto" w:fill="auto"/>
            <w:vAlign w:val="center"/>
          </w:tcPr>
          <w:p w14:paraId="37F11EF3" w14:textId="1C8A3B7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64" w:type="pct"/>
            <w:shd w:val="clear" w:color="auto" w:fill="auto"/>
            <w:vAlign w:val="center"/>
          </w:tcPr>
          <w:p w14:paraId="383D1D61" w14:textId="55F9208C" w:rsidR="00B61097" w:rsidRDefault="00B61097" w:rsidP="00B61097">
            <w:pPr>
              <w:spacing w:after="0" w:line="240" w:lineRule="auto"/>
              <w:jc w:val="both"/>
              <w:rPr>
                <w:rFonts w:ascii="Garamond" w:hAnsi="Garamond"/>
              </w:rPr>
            </w:pPr>
            <w:r>
              <w:rPr>
                <w:rFonts w:ascii="Garamond" w:hAnsi="Garamond"/>
              </w:rPr>
              <w:t xml:space="preserve">L’aggiudicazione è avvenuta dopo la verifica dei requisiti generali e speciali ove richiesti, </w:t>
            </w:r>
            <w:r w:rsidRPr="00003D82">
              <w:rPr>
                <w:rFonts w:ascii="Garamond" w:hAnsi="Garamond"/>
              </w:rPr>
              <w:t>mediante il Fascicolo Virtuale dell’Operatore Economico (“FVOE”)?</w:t>
            </w:r>
          </w:p>
        </w:tc>
        <w:tc>
          <w:tcPr>
            <w:tcW w:w="129" w:type="pct"/>
            <w:shd w:val="clear" w:color="auto" w:fill="auto"/>
            <w:vAlign w:val="center"/>
          </w:tcPr>
          <w:p w14:paraId="1B9CE88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D92730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6533BB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226BE9C"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tcPr>
          <w:p w14:paraId="036B4C6E" w14:textId="516284CF"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65FBEB3"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4B8DCCE5" w14:textId="77777777" w:rsidR="00B61097" w:rsidRDefault="00B61097" w:rsidP="00B61097">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Verbali di gara</w:t>
            </w:r>
          </w:p>
          <w:p w14:paraId="6223AF58" w14:textId="19FA42E9" w:rsidR="00B61097" w:rsidRPr="00622822" w:rsidRDefault="00B61097" w:rsidP="00B61097">
            <w:pPr>
              <w:spacing w:after="0" w:line="240" w:lineRule="auto"/>
              <w:jc w:val="both"/>
              <w:rPr>
                <w:rFonts w:ascii="Garamond" w:eastAsia="Times New Roman" w:hAnsi="Garamond" w:cs="Times New Roman"/>
                <w:color w:val="000000"/>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Documentazione FVOE</w:t>
            </w:r>
          </w:p>
        </w:tc>
      </w:tr>
      <w:tr w:rsidR="00B61097" w:rsidRPr="00023F3C" w14:paraId="7AC6ED2C" w14:textId="77777777" w:rsidTr="009B30BC">
        <w:trPr>
          <w:trHeight w:val="975"/>
        </w:trPr>
        <w:tc>
          <w:tcPr>
            <w:tcW w:w="310" w:type="pct"/>
            <w:shd w:val="clear" w:color="auto" w:fill="auto"/>
            <w:vAlign w:val="center"/>
          </w:tcPr>
          <w:p w14:paraId="351166B8" w14:textId="2115594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64" w:type="pct"/>
            <w:shd w:val="clear" w:color="auto" w:fill="auto"/>
            <w:vAlign w:val="center"/>
          </w:tcPr>
          <w:p w14:paraId="779E6D0B" w14:textId="1341247D" w:rsidR="00B61097" w:rsidRPr="00023F3C" w:rsidRDefault="00B61097" w:rsidP="00B61097">
            <w:pPr>
              <w:spacing w:after="0" w:line="240" w:lineRule="auto"/>
              <w:jc w:val="both"/>
              <w:rPr>
                <w:rFonts w:ascii="Garamond" w:hAnsi="Garamond"/>
              </w:rPr>
            </w:pPr>
            <w:r>
              <w:rPr>
                <w:rFonts w:ascii="Garamond" w:hAnsi="Garamond"/>
              </w:rPr>
              <w:t>Sono stati assolti gli obblighi di pubblicità e trasparenza post aggiudicazione ivi incluse le comunicazioni ex.art.90 del D. Lgs. 36/2023?</w:t>
            </w:r>
          </w:p>
        </w:tc>
        <w:tc>
          <w:tcPr>
            <w:tcW w:w="129" w:type="pct"/>
            <w:shd w:val="clear" w:color="auto" w:fill="auto"/>
            <w:vAlign w:val="center"/>
          </w:tcPr>
          <w:p w14:paraId="13CA34C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F57CB2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61A541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B19C369"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566A7C1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453BEDDB"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18E36E2" w14:textId="0468D83A" w:rsidR="00B61097" w:rsidRPr="00622822"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07DC4FCD"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Comunicazione aggiudicatario</w:t>
            </w:r>
          </w:p>
          <w:p w14:paraId="2B8BC7D5" w14:textId="77777777" w:rsidR="00B61097" w:rsidRDefault="00B61097" w:rsidP="00B6109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Comunicazioni ex art.</w:t>
            </w:r>
            <w:r>
              <w:rPr>
                <w:rFonts w:ascii="Garamond" w:eastAsia="Times New Roman" w:hAnsi="Garamond" w:cs="Times New Roman"/>
                <w:color w:val="000000"/>
                <w:lang w:eastAsia="it-IT"/>
              </w:rPr>
              <w:t>90</w:t>
            </w:r>
          </w:p>
          <w:p w14:paraId="5797EF5F" w14:textId="7B534277" w:rsidR="00B61097" w:rsidRPr="00521C08" w:rsidRDefault="00B61097" w:rsidP="00B61097">
            <w:pPr>
              <w:spacing w:after="0" w:line="240" w:lineRule="auto"/>
              <w:jc w:val="both"/>
              <w:rPr>
                <w:rFonts w:ascii="Garamond" w:hAnsi="Garamond"/>
              </w:rPr>
            </w:pPr>
            <w:r>
              <w:rPr>
                <w:rFonts w:ascii="Garamond" w:eastAsia="Times New Roman" w:hAnsi="Garamond" w:cs="Times New Roman"/>
                <w:color w:val="000000"/>
                <w:lang w:eastAsia="it-IT"/>
              </w:rPr>
              <w:t xml:space="preserve">Dal 1° gennaio 2024 gli avvisi sono pubblicati sul sito dell’amministrazione e per il tramite della </w:t>
            </w:r>
            <w:r w:rsidRPr="00922D3E">
              <w:rPr>
                <w:rFonts w:ascii="Garamond" w:hAnsi="Garamond"/>
              </w:rPr>
              <w:t>Banca dati nazionale dei contratti pubblici dell’ANAC</w:t>
            </w:r>
          </w:p>
        </w:tc>
      </w:tr>
      <w:tr w:rsidR="00B61097" w:rsidRPr="00023F3C" w14:paraId="4613F424" w14:textId="77777777" w:rsidTr="009B30BC">
        <w:trPr>
          <w:trHeight w:val="599"/>
        </w:trPr>
        <w:tc>
          <w:tcPr>
            <w:tcW w:w="310" w:type="pct"/>
            <w:shd w:val="clear" w:color="auto" w:fill="auto"/>
            <w:vAlign w:val="center"/>
          </w:tcPr>
          <w:p w14:paraId="6817C6D6" w14:textId="3283A6D2" w:rsidR="00B61097" w:rsidRPr="003E24F8"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D7226">
              <w:rPr>
                <w:rFonts w:ascii="Garamond" w:eastAsia="Times New Roman" w:hAnsi="Garamond" w:cs="Times New Roman"/>
                <w:color w:val="000000"/>
                <w:lang w:eastAsia="it-IT"/>
              </w:rPr>
              <w:t>7</w:t>
            </w:r>
          </w:p>
        </w:tc>
        <w:tc>
          <w:tcPr>
            <w:tcW w:w="1464" w:type="pct"/>
            <w:shd w:val="clear" w:color="auto" w:fill="auto"/>
            <w:vAlign w:val="center"/>
          </w:tcPr>
          <w:p w14:paraId="7333DE00" w14:textId="155F3A05" w:rsidR="00B61097" w:rsidRPr="003E24F8" w:rsidRDefault="00B61097" w:rsidP="00B61097">
            <w:pPr>
              <w:spacing w:after="0" w:line="240" w:lineRule="auto"/>
              <w:jc w:val="both"/>
              <w:rPr>
                <w:rFonts w:ascii="Garamond" w:hAnsi="Garamond"/>
              </w:rPr>
            </w:pPr>
            <w:r w:rsidRPr="00AE3C7A">
              <w:rPr>
                <w:rFonts w:ascii="Garamond" w:hAnsi="Garamond"/>
              </w:rPr>
              <w:t>È stato predisposto apposito atto di approvazione del quadro economico rideterminato a seguito dell’aggiudicazione del contratto?</w:t>
            </w:r>
          </w:p>
        </w:tc>
        <w:tc>
          <w:tcPr>
            <w:tcW w:w="129" w:type="pct"/>
            <w:shd w:val="clear" w:color="auto" w:fill="auto"/>
            <w:vAlign w:val="center"/>
          </w:tcPr>
          <w:p w14:paraId="27D8932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A92CB7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C953F5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4ABF100"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03498BA2" w14:textId="77777777" w:rsidR="00B61097" w:rsidRPr="00C54409" w:rsidRDefault="00B61097" w:rsidP="00B61097">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tcPr>
          <w:p w14:paraId="377E786E" w14:textId="77777777" w:rsidR="00B61097" w:rsidRPr="00BB1BAB"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1418B37" w14:textId="77777777" w:rsidR="00B61097" w:rsidRPr="00BB1BAB" w:rsidRDefault="00B61097" w:rsidP="00B61097">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Decreto di aggiudicazione</w:t>
            </w:r>
          </w:p>
          <w:p w14:paraId="4A8675B3" w14:textId="77777777" w:rsidR="00B61097" w:rsidRDefault="00B61097" w:rsidP="00B61097">
            <w:pPr>
              <w:spacing w:after="0" w:line="240" w:lineRule="auto"/>
              <w:jc w:val="both"/>
              <w:rPr>
                <w:rFonts w:ascii="Garamond" w:eastAsia="Times New Roman" w:hAnsi="Garamond" w:cs="Times New Roman"/>
                <w:color w:val="00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09DEDEBF" w14:textId="235E4120" w:rsidR="00B61097" w:rsidRPr="003E24F8" w:rsidRDefault="00B61097" w:rsidP="00B61097">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 xml:space="preserve">• Atto di approvazione del quadro economico </w:t>
            </w:r>
            <w:r w:rsidRPr="00AE3C7A">
              <w:rPr>
                <w:rFonts w:ascii="Garamond" w:eastAsia="Times New Roman" w:hAnsi="Garamond" w:cs="Times New Roman"/>
                <w:i/>
                <w:iCs/>
                <w:lang w:eastAsia="it-IT"/>
              </w:rPr>
              <w:t>post</w:t>
            </w:r>
            <w:r w:rsidRPr="00AE3C7A">
              <w:rPr>
                <w:rFonts w:ascii="Garamond" w:eastAsia="Times New Roman" w:hAnsi="Garamond" w:cs="Times New Roman"/>
                <w:lang w:eastAsia="it-IT"/>
              </w:rPr>
              <w:t xml:space="preserve"> aggiudicazione</w:t>
            </w:r>
          </w:p>
        </w:tc>
      </w:tr>
      <w:tr w:rsidR="00B61097" w:rsidRPr="00023F3C" w14:paraId="746489D8" w14:textId="77777777" w:rsidTr="009B30BC">
        <w:trPr>
          <w:trHeight w:val="599"/>
        </w:trPr>
        <w:tc>
          <w:tcPr>
            <w:tcW w:w="310" w:type="pct"/>
            <w:shd w:val="clear" w:color="auto" w:fill="auto"/>
            <w:vAlign w:val="center"/>
          </w:tcPr>
          <w:p w14:paraId="74F2971B" w14:textId="219D1B95" w:rsidR="00B61097" w:rsidRPr="003E24F8" w:rsidRDefault="000D7226"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64" w:type="pct"/>
            <w:shd w:val="clear" w:color="auto" w:fill="auto"/>
            <w:vAlign w:val="center"/>
          </w:tcPr>
          <w:p w14:paraId="199BCAFE" w14:textId="67AD904A" w:rsidR="00B61097" w:rsidRPr="003E24F8" w:rsidRDefault="00B61097" w:rsidP="00B61097">
            <w:pPr>
              <w:spacing w:after="0" w:line="240" w:lineRule="auto"/>
              <w:jc w:val="both"/>
              <w:rPr>
                <w:rFonts w:ascii="Garamond" w:hAnsi="Garamond"/>
              </w:rPr>
            </w:pPr>
            <w:r w:rsidRPr="00634831">
              <w:rPr>
                <w:rFonts w:ascii="Garamond" w:hAnsi="Garamond"/>
              </w:rPr>
              <w:t>Sono state applicate corrette procedure di risoluzione di eventuali controversie?</w:t>
            </w:r>
          </w:p>
        </w:tc>
        <w:tc>
          <w:tcPr>
            <w:tcW w:w="129" w:type="pct"/>
            <w:shd w:val="clear" w:color="auto" w:fill="auto"/>
            <w:vAlign w:val="center"/>
          </w:tcPr>
          <w:p w14:paraId="08C7203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A2B51F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AF554B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0BFC959"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189C1F25" w14:textId="77777777" w:rsidR="00B61097" w:rsidRPr="00C54409" w:rsidRDefault="00B61097" w:rsidP="00B61097">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tcPr>
          <w:p w14:paraId="386390AE" w14:textId="77777777" w:rsidR="00B61097" w:rsidRPr="00BB1BAB"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5EB22C90" w14:textId="08855E66" w:rsidR="00B61097" w:rsidRPr="003E24F8" w:rsidRDefault="00B61097" w:rsidP="00B61097">
            <w:pPr>
              <w:spacing w:after="0" w:line="240" w:lineRule="auto"/>
              <w:jc w:val="both"/>
              <w:rPr>
                <w:rFonts w:ascii="Garamond" w:eastAsia="Times New Roman" w:hAnsi="Garamond" w:cs="Times New Roman"/>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w:t>
            </w:r>
            <w:r w:rsidRPr="007D29C9">
              <w:rPr>
                <w:rFonts w:ascii="Garamond" w:eastAsia="Times New Roman" w:hAnsi="Garamond" w:cs="Times New Roman"/>
                <w:color w:val="000000"/>
                <w:lang w:eastAsia="it-IT"/>
              </w:rPr>
              <w:t>ttestazione assenza di ricorsi</w:t>
            </w:r>
          </w:p>
        </w:tc>
      </w:tr>
      <w:tr w:rsidR="00B61097" w:rsidRPr="00023F3C" w14:paraId="2A67F9DA" w14:textId="77777777" w:rsidTr="009B30BC">
        <w:trPr>
          <w:trHeight w:val="599"/>
        </w:trPr>
        <w:tc>
          <w:tcPr>
            <w:tcW w:w="310" w:type="pct"/>
            <w:shd w:val="clear" w:color="auto" w:fill="auto"/>
            <w:vAlign w:val="center"/>
          </w:tcPr>
          <w:p w14:paraId="655A6716" w14:textId="78440652" w:rsidR="00B61097" w:rsidRPr="003E24F8" w:rsidRDefault="000D7226"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64" w:type="pct"/>
            <w:shd w:val="clear" w:color="auto" w:fill="auto"/>
            <w:vAlign w:val="center"/>
          </w:tcPr>
          <w:p w14:paraId="5831933A" w14:textId="632FBFD4" w:rsidR="00B61097" w:rsidRPr="003E24F8" w:rsidRDefault="00B61097" w:rsidP="00B61097">
            <w:pPr>
              <w:spacing w:after="0" w:line="240" w:lineRule="auto"/>
              <w:jc w:val="both"/>
              <w:rPr>
                <w:rFonts w:ascii="Garamond" w:hAnsi="Garamond"/>
              </w:rPr>
            </w:pPr>
            <w:proofErr w:type="gramStart"/>
            <w:r>
              <w:rPr>
                <w:rFonts w:ascii="Garamond" w:hAnsi="Garamond"/>
              </w:rPr>
              <w:t>E’</w:t>
            </w:r>
            <w:proofErr w:type="gramEnd"/>
            <w:r>
              <w:rPr>
                <w:rFonts w:ascii="Garamond" w:hAnsi="Garamond"/>
              </w:rPr>
              <w:t xml:space="preserve"> stata comunicata la data di avvenuta stipulazione del contratto con l’aggiudicatario ai sensi dell’art. 90 del D. Lgs. 36/2023?</w:t>
            </w:r>
          </w:p>
        </w:tc>
        <w:tc>
          <w:tcPr>
            <w:tcW w:w="129" w:type="pct"/>
            <w:shd w:val="clear" w:color="auto" w:fill="auto"/>
            <w:vAlign w:val="center"/>
          </w:tcPr>
          <w:p w14:paraId="00EA08E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D64C19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D647E4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34C36E6" w14:textId="77777777" w:rsidR="00B61097" w:rsidRPr="00622822"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7DE30F59" w14:textId="77777777" w:rsidR="00B61097" w:rsidRPr="00C54409" w:rsidRDefault="00B61097" w:rsidP="00B61097">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tcPr>
          <w:p w14:paraId="0AD0C02C" w14:textId="77777777" w:rsidR="00B61097" w:rsidRPr="00BB1BAB"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05690EC3" w14:textId="39DF1796" w:rsidR="00B61097" w:rsidRPr="003E24F8" w:rsidRDefault="00B61097" w:rsidP="00B61097">
            <w:pPr>
              <w:spacing w:after="0" w:line="240" w:lineRule="auto"/>
              <w:jc w:val="both"/>
              <w:rPr>
                <w:rFonts w:ascii="Garamond" w:eastAsia="Times New Roman" w:hAnsi="Garamond" w:cs="Times New Roman"/>
                <w:lang w:eastAsia="it-IT"/>
              </w:rPr>
            </w:pPr>
            <w:r w:rsidRPr="00BB1BA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di avvenuta stipula del contratto</w:t>
            </w:r>
          </w:p>
        </w:tc>
      </w:tr>
      <w:tr w:rsidR="00B61097" w:rsidRPr="00023F3C" w14:paraId="191B4F59" w14:textId="77777777" w:rsidTr="00E7285B">
        <w:trPr>
          <w:trHeight w:val="788"/>
        </w:trPr>
        <w:tc>
          <w:tcPr>
            <w:tcW w:w="310" w:type="pct"/>
            <w:shd w:val="clear" w:color="auto" w:fill="B4C6E7" w:themeFill="accent1" w:themeFillTint="66"/>
            <w:vAlign w:val="center"/>
          </w:tcPr>
          <w:p w14:paraId="41377330" w14:textId="49898683" w:rsidR="00B61097" w:rsidRPr="008C4DB0" w:rsidRDefault="00B61097" w:rsidP="00B61097">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I</w:t>
            </w:r>
          </w:p>
        </w:tc>
        <w:tc>
          <w:tcPr>
            <w:tcW w:w="4690" w:type="pct"/>
            <w:gridSpan w:val="8"/>
            <w:shd w:val="clear" w:color="auto" w:fill="B4C6E7" w:themeFill="accent1" w:themeFillTint="66"/>
            <w:vAlign w:val="center"/>
          </w:tcPr>
          <w:p w14:paraId="5A01FB87" w14:textId="31AFC853" w:rsidR="00B61097" w:rsidRPr="008C4DB0" w:rsidRDefault="00B61097" w:rsidP="00B61097">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r>
      <w:tr w:rsidR="00B61097" w:rsidRPr="00023F3C" w14:paraId="5D86BE83" w14:textId="77777777" w:rsidTr="009B30BC">
        <w:trPr>
          <w:trHeight w:val="1417"/>
        </w:trPr>
        <w:tc>
          <w:tcPr>
            <w:tcW w:w="310" w:type="pct"/>
            <w:shd w:val="clear" w:color="auto" w:fill="auto"/>
            <w:vAlign w:val="center"/>
          </w:tcPr>
          <w:p w14:paraId="3325B484" w14:textId="764665E3"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488AF5C2" w14:textId="260DF9DA"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8D4C53">
              <w:rPr>
                <w:rFonts w:ascii="Garamond" w:eastAsia="Times New Roman" w:hAnsi="Garamond" w:cs="Times New Roman"/>
                <w:color w:val="000000"/>
                <w:lang w:eastAsia="it-IT"/>
              </w:rPr>
              <w:t>l contratto è stato stipulato decorso il termine di 3</w:t>
            </w:r>
            <w:r>
              <w:rPr>
                <w:rFonts w:ascii="Garamond" w:eastAsia="Times New Roman" w:hAnsi="Garamond" w:cs="Times New Roman"/>
                <w:color w:val="000000"/>
                <w:lang w:eastAsia="it-IT"/>
              </w:rPr>
              <w:t>5</w:t>
            </w:r>
            <w:r w:rsidRPr="008D4C53">
              <w:rPr>
                <w:rFonts w:ascii="Garamond" w:eastAsia="Times New Roman" w:hAnsi="Garamond" w:cs="Times New Roman"/>
                <w:color w:val="000000"/>
                <w:lang w:eastAsia="it-IT"/>
              </w:rPr>
              <w:t xml:space="preserve"> giorni dall’invio dell’ultima delle comunicazioni del provvedimento di aggiudicazione ai sensi dell’art.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29" w:type="pct"/>
            <w:shd w:val="clear" w:color="auto" w:fill="auto"/>
            <w:vAlign w:val="center"/>
          </w:tcPr>
          <w:p w14:paraId="1602EA1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8DB73A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5F0E52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594AD7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13CF77F7" w14:textId="0136F8EA" w:rsidR="00B61097" w:rsidRPr="00023F3C" w:rsidRDefault="00B61097" w:rsidP="00B6109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N.B. A partire dal 31 dicembre 2024, il termine di stand-</w:t>
            </w:r>
            <w:proofErr w:type="spellStart"/>
            <w:r>
              <w:rPr>
                <w:rFonts w:ascii="Garamond" w:eastAsia="Times New Roman" w:hAnsi="Garamond" w:cs="Times New Roman"/>
                <w:color w:val="2F5496" w:themeColor="accent1" w:themeShade="BF"/>
                <w:lang w:eastAsia="it-IT"/>
              </w:rPr>
              <w:t>still</w:t>
            </w:r>
            <w:proofErr w:type="spellEnd"/>
            <w:r>
              <w:rPr>
                <w:rFonts w:ascii="Garamond" w:eastAsia="Times New Roman" w:hAnsi="Garamond" w:cs="Times New Roman"/>
                <w:color w:val="2F5496" w:themeColor="accent1" w:themeShade="BF"/>
                <w:lang w:eastAsia="it-IT"/>
              </w:rPr>
              <w:t xml:space="preserve"> è ridotto a 32 giorni (art. 18, comma 3 come modificato dal Decreto Correttivo 209/2024).</w:t>
            </w:r>
          </w:p>
        </w:tc>
        <w:tc>
          <w:tcPr>
            <w:tcW w:w="399" w:type="pct"/>
          </w:tcPr>
          <w:p w14:paraId="1A1800C9" w14:textId="77777777" w:rsidR="00B61097" w:rsidRPr="00460206" w:rsidRDefault="00B61097" w:rsidP="00B61097">
            <w:pPr>
              <w:spacing w:after="0" w:line="240" w:lineRule="auto"/>
              <w:jc w:val="both"/>
              <w:rPr>
                <w:rFonts w:ascii="Garamond" w:hAnsi="Garamond"/>
              </w:rPr>
            </w:pPr>
          </w:p>
        </w:tc>
        <w:tc>
          <w:tcPr>
            <w:tcW w:w="1150" w:type="pct"/>
            <w:vAlign w:val="center"/>
          </w:tcPr>
          <w:p w14:paraId="34F7DEE2"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242E4E95"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1939E805" w14:textId="1F897E3D" w:rsidR="00B61097" w:rsidRPr="008E64EF"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B61097" w:rsidRPr="00023F3C" w14:paraId="55A9814E" w14:textId="77777777" w:rsidTr="009B30BC">
        <w:trPr>
          <w:trHeight w:val="1417"/>
        </w:trPr>
        <w:tc>
          <w:tcPr>
            <w:tcW w:w="310" w:type="pct"/>
            <w:shd w:val="clear" w:color="auto" w:fill="auto"/>
            <w:vAlign w:val="center"/>
          </w:tcPr>
          <w:p w14:paraId="4780B13D" w14:textId="076B10CC" w:rsidR="00B61097" w:rsidRDefault="00B61097" w:rsidP="00B61097">
            <w:pPr>
              <w:spacing w:after="0" w:line="240" w:lineRule="auto"/>
              <w:jc w:val="center"/>
              <w:rPr>
                <w:rFonts w:ascii="Garamond" w:eastAsia="Times New Roman" w:hAnsi="Garamond" w:cs="Times New Roman"/>
                <w:color w:val="000000"/>
                <w:lang w:eastAsia="it-IT"/>
              </w:rPr>
            </w:pPr>
            <w:r w:rsidRPr="004C2C75">
              <w:rPr>
                <w:rFonts w:ascii="Garamond" w:eastAsia="Times New Roman" w:hAnsi="Garamond" w:cs="Times New Roman"/>
                <w:color w:val="000000"/>
                <w:lang w:eastAsia="it-IT"/>
              </w:rPr>
              <w:t>2</w:t>
            </w:r>
          </w:p>
        </w:tc>
        <w:tc>
          <w:tcPr>
            <w:tcW w:w="1464" w:type="pct"/>
            <w:shd w:val="clear" w:color="auto" w:fill="auto"/>
            <w:vAlign w:val="center"/>
          </w:tcPr>
          <w:p w14:paraId="2F1C5D5C" w14:textId="34C7E3DB" w:rsidR="00B61097" w:rsidRDefault="00B61097" w:rsidP="00B61097">
            <w:pPr>
              <w:spacing w:after="0" w:line="240" w:lineRule="auto"/>
              <w:jc w:val="both"/>
              <w:rPr>
                <w:rFonts w:ascii="Garamond" w:eastAsia="Times New Roman" w:hAnsi="Garamond" w:cs="Times New Roman"/>
                <w:color w:val="000000"/>
                <w:lang w:eastAsia="it-IT"/>
              </w:rPr>
            </w:pPr>
            <w:r w:rsidRPr="008D4C53">
              <w:rPr>
                <w:rFonts w:ascii="Garamond" w:eastAsia="Times New Roman" w:hAnsi="Garamond" w:cs="Times New Roman"/>
                <w:color w:val="000000"/>
                <w:lang w:eastAsia="it-IT"/>
              </w:rPr>
              <w:t>In caso di mancato rispetto del termine di 3</w:t>
            </w:r>
            <w:r>
              <w:rPr>
                <w:rFonts w:ascii="Garamond" w:eastAsia="Times New Roman" w:hAnsi="Garamond" w:cs="Times New Roman"/>
                <w:color w:val="000000"/>
                <w:lang w:eastAsia="it-IT"/>
              </w:rPr>
              <w:t>5</w:t>
            </w:r>
            <w:r w:rsidRPr="008D4C53">
              <w:rPr>
                <w:rFonts w:ascii="Garamond" w:eastAsia="Times New Roman" w:hAnsi="Garamond" w:cs="Times New Roman"/>
                <w:color w:val="000000"/>
                <w:lang w:eastAsia="it-IT"/>
              </w:rPr>
              <w:t xml:space="preserve"> giorni di cui al punto precedente per la stipula del contratto, ricorre una delle ipotesi di cui all’art. 18, comma 3</w:t>
            </w:r>
            <w:r>
              <w:rPr>
                <w:rFonts w:ascii="Garamond" w:eastAsia="Times New Roman" w:hAnsi="Garamond" w:cs="Times New Roman"/>
                <w:color w:val="000000"/>
                <w:lang w:eastAsia="it-IT"/>
              </w:rPr>
              <w:t>,</w:t>
            </w:r>
            <w:r w:rsidRPr="008D4C53">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8D4C53">
              <w:rPr>
                <w:rFonts w:ascii="Garamond" w:eastAsia="Times New Roman" w:hAnsi="Garamond" w:cs="Times New Roman"/>
                <w:color w:val="000000"/>
                <w:lang w:eastAsia="it-IT"/>
              </w:rPr>
              <w:t>gs. 36/2023?</w:t>
            </w:r>
          </w:p>
        </w:tc>
        <w:tc>
          <w:tcPr>
            <w:tcW w:w="129" w:type="pct"/>
            <w:shd w:val="clear" w:color="auto" w:fill="auto"/>
            <w:vAlign w:val="center"/>
          </w:tcPr>
          <w:p w14:paraId="6E3650F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CDC71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55B746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08E66D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20C3FDD" w14:textId="737D05C6" w:rsidR="00B61097" w:rsidRPr="00023F3C" w:rsidRDefault="00B61097" w:rsidP="00B6109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N.B. A partire dal 31 dicembre 2024, il termine di stand-</w:t>
            </w:r>
            <w:proofErr w:type="spellStart"/>
            <w:r>
              <w:rPr>
                <w:rFonts w:ascii="Garamond" w:eastAsia="Times New Roman" w:hAnsi="Garamond" w:cs="Times New Roman"/>
                <w:color w:val="2F5496" w:themeColor="accent1" w:themeShade="BF"/>
                <w:lang w:eastAsia="it-IT"/>
              </w:rPr>
              <w:t>still</w:t>
            </w:r>
            <w:proofErr w:type="spellEnd"/>
            <w:r>
              <w:rPr>
                <w:rFonts w:ascii="Garamond" w:eastAsia="Times New Roman" w:hAnsi="Garamond" w:cs="Times New Roman"/>
                <w:color w:val="2F5496" w:themeColor="accent1" w:themeShade="BF"/>
                <w:lang w:eastAsia="it-IT"/>
              </w:rPr>
              <w:t xml:space="preserve"> è ridotto a 32 giorni (art. 18, comma 3 come modificato dal Decreto Correttivo 209/2024).</w:t>
            </w:r>
          </w:p>
        </w:tc>
        <w:tc>
          <w:tcPr>
            <w:tcW w:w="399" w:type="pct"/>
          </w:tcPr>
          <w:p w14:paraId="1A60A5F7" w14:textId="77777777" w:rsidR="00B61097" w:rsidRPr="00FE0B3E" w:rsidRDefault="00B61097" w:rsidP="00B61097">
            <w:pPr>
              <w:spacing w:before="100" w:beforeAutospacing="1" w:after="240" w:line="240" w:lineRule="auto"/>
              <w:jc w:val="both"/>
              <w:rPr>
                <w:rFonts w:ascii="Garamond" w:hAnsi="Garamond"/>
              </w:rPr>
            </w:pPr>
          </w:p>
        </w:tc>
        <w:tc>
          <w:tcPr>
            <w:tcW w:w="1150" w:type="pct"/>
            <w:vAlign w:val="center"/>
          </w:tcPr>
          <w:p w14:paraId="1E536622"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Atto di aggiudicazione</w:t>
            </w:r>
          </w:p>
          <w:p w14:paraId="0081DABB"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Contratto</w:t>
            </w:r>
          </w:p>
          <w:p w14:paraId="0AFAE17F" w14:textId="10B0EA24" w:rsidR="00B61097" w:rsidRPr="008E64EF" w:rsidRDefault="00B61097" w:rsidP="00B61097">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Altro</w:t>
            </w:r>
          </w:p>
        </w:tc>
      </w:tr>
      <w:tr w:rsidR="00B61097" w:rsidRPr="00023F3C" w14:paraId="7190672A" w14:textId="2F90340D" w:rsidTr="009B30BC">
        <w:trPr>
          <w:trHeight w:val="1030"/>
        </w:trPr>
        <w:tc>
          <w:tcPr>
            <w:tcW w:w="310" w:type="pct"/>
            <w:shd w:val="clear" w:color="auto" w:fill="auto"/>
            <w:vAlign w:val="center"/>
          </w:tcPr>
          <w:p w14:paraId="505215FE" w14:textId="7A47AE62" w:rsidR="00B61097" w:rsidRPr="002422EE" w:rsidRDefault="00B61097" w:rsidP="00B61097">
            <w:pPr>
              <w:spacing w:after="0" w:line="240" w:lineRule="auto"/>
              <w:jc w:val="center"/>
              <w:rPr>
                <w:rFonts w:ascii="Garamond" w:eastAsia="Times New Roman" w:hAnsi="Garamond" w:cs="Times New Roman"/>
                <w:color w:val="000000"/>
                <w:highlight w:val="yellow"/>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782292C1" w14:textId="4CF823EE" w:rsidR="00B61097" w:rsidRPr="00AC56F1" w:rsidRDefault="00B61097" w:rsidP="00B61097">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w:t>
            </w:r>
            <w:r>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 xml:space="preserve">onsorzio </w:t>
            </w:r>
            <w:r>
              <w:rPr>
                <w:rFonts w:ascii="Garamond" w:eastAsia="Times New Roman" w:hAnsi="Garamond" w:cs="Times New Roman"/>
                <w:color w:val="000000"/>
                <w:lang w:eastAsia="it-IT"/>
              </w:rPr>
              <w:t>s</w:t>
            </w:r>
            <w:r w:rsidRPr="00474EA0">
              <w:rPr>
                <w:rFonts w:ascii="Garamond" w:eastAsia="Times New Roman" w:hAnsi="Garamond" w:cs="Times New Roman"/>
                <w:color w:val="000000"/>
                <w:lang w:eastAsia="it-IT"/>
              </w:rPr>
              <w:t xml:space="preserve">tabile </w:t>
            </w:r>
            <w:r>
              <w:rPr>
                <w:rFonts w:ascii="Garamond" w:eastAsia="Times New Roman" w:hAnsi="Garamond" w:cs="Times New Roman"/>
                <w:color w:val="000000"/>
                <w:lang w:eastAsia="it-IT"/>
              </w:rPr>
              <w:t>(</w:t>
            </w:r>
            <w:r w:rsidRPr="00474EA0">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474E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474EA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29" w:type="pct"/>
            <w:shd w:val="clear" w:color="auto" w:fill="auto"/>
            <w:vAlign w:val="center"/>
          </w:tcPr>
          <w:p w14:paraId="6164DC04" w14:textId="4FE6A64A"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559607D" w14:textId="5E8650C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0D78FDA" w14:textId="61D5D1B6"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8B65C29" w14:textId="62DB10C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36FA730D" w14:textId="091F7E15"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1D2512C8" w14:textId="77777777" w:rsidR="00B61097" w:rsidRPr="00023F3C"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B94410D" w14:textId="6BEF76AB" w:rsidR="00B61097" w:rsidRPr="00AC56F1" w:rsidRDefault="00B61097" w:rsidP="00B6109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B61097" w:rsidRPr="00023F3C" w14:paraId="663997C2" w14:textId="77777777" w:rsidTr="009B30BC">
        <w:trPr>
          <w:trHeight w:val="599"/>
        </w:trPr>
        <w:tc>
          <w:tcPr>
            <w:tcW w:w="310" w:type="pct"/>
            <w:shd w:val="clear" w:color="auto" w:fill="auto"/>
            <w:vAlign w:val="center"/>
          </w:tcPr>
          <w:p w14:paraId="4BD2A620" w14:textId="54DAF7A0" w:rsidR="00B61097" w:rsidRPr="00AC56F1"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464" w:type="pct"/>
            <w:shd w:val="clear" w:color="auto" w:fill="auto"/>
            <w:vAlign w:val="center"/>
          </w:tcPr>
          <w:p w14:paraId="6F5A9B06" w14:textId="77777777" w:rsidR="00B61097" w:rsidRPr="00E74C7B" w:rsidRDefault="00B61097" w:rsidP="00B61097">
            <w:pPr>
              <w:spacing w:after="0" w:line="240" w:lineRule="auto"/>
              <w:jc w:val="both"/>
              <w:rPr>
                <w:rFonts w:ascii="Garamond" w:eastAsia="Times New Roman" w:hAnsi="Garamond" w:cs="Times New Roman"/>
                <w:lang w:eastAsia="it-IT"/>
              </w:rPr>
            </w:pPr>
            <w:r w:rsidRPr="00E74C7B">
              <w:rPr>
                <w:rFonts w:ascii="Garamond" w:eastAsia="Times New Roman" w:hAnsi="Garamond" w:cs="Times New Roman"/>
                <w:lang w:eastAsia="it-IT"/>
              </w:rPr>
              <w:t xml:space="preserve">Nel caso in cui l’aggiudicatario sia un raggruppamento temporaneo di concorrenti </w:t>
            </w:r>
            <w:r>
              <w:rPr>
                <w:rFonts w:ascii="Garamond" w:eastAsia="Times New Roman" w:hAnsi="Garamond" w:cs="Times New Roman"/>
                <w:lang w:eastAsia="it-IT"/>
              </w:rPr>
              <w:t>(</w:t>
            </w:r>
            <w:r w:rsidRPr="00E74C7B">
              <w:rPr>
                <w:rFonts w:ascii="Garamond" w:eastAsia="Times New Roman" w:hAnsi="Garamond" w:cs="Times New Roman"/>
                <w:lang w:eastAsia="it-IT"/>
              </w:rPr>
              <w:t xml:space="preserve">art. 65, comma 2, lett. e), del </w:t>
            </w:r>
            <w:r>
              <w:rPr>
                <w:rFonts w:ascii="Garamond" w:eastAsia="Times New Roman" w:hAnsi="Garamond" w:cs="Times New Roman"/>
                <w:lang w:eastAsia="it-IT"/>
              </w:rPr>
              <w:t>D</w:t>
            </w:r>
            <w:r w:rsidRPr="00E74C7B">
              <w:rPr>
                <w:rFonts w:ascii="Garamond" w:eastAsia="Times New Roman" w:hAnsi="Garamond" w:cs="Times New Roman"/>
                <w:lang w:eastAsia="it-IT"/>
              </w:rPr>
              <w:t>.</w:t>
            </w:r>
            <w:r>
              <w:rPr>
                <w:rFonts w:ascii="Garamond" w:eastAsia="Times New Roman" w:hAnsi="Garamond" w:cs="Times New Roman"/>
                <w:lang w:eastAsia="it-IT"/>
              </w:rPr>
              <w:t xml:space="preserve"> L</w:t>
            </w:r>
            <w:r w:rsidRPr="00E74C7B">
              <w:rPr>
                <w:rFonts w:ascii="Garamond" w:eastAsia="Times New Roman" w:hAnsi="Garamond" w:cs="Times New Roman"/>
                <w:lang w:eastAsia="it-IT"/>
              </w:rPr>
              <w:t>gs. 36/2023</w:t>
            </w:r>
            <w:r>
              <w:rPr>
                <w:rFonts w:ascii="Garamond" w:eastAsia="Times New Roman" w:hAnsi="Garamond" w:cs="Times New Roman"/>
                <w:lang w:eastAsia="it-IT"/>
              </w:rPr>
              <w:t>)</w:t>
            </w:r>
            <w:r w:rsidRPr="00E74C7B">
              <w:rPr>
                <w:rFonts w:ascii="Garamond" w:eastAsia="Times New Roman" w:hAnsi="Garamond" w:cs="Times New Roman"/>
                <w:lang w:eastAsia="it-IT"/>
              </w:rPr>
              <w:t>:</w:t>
            </w:r>
          </w:p>
          <w:p w14:paraId="01FA3696" w14:textId="77F05CBB" w:rsidR="00B61097" w:rsidRPr="005E5535" w:rsidRDefault="00B61097" w:rsidP="00B61097">
            <w:pPr>
              <w:pStyle w:val="ListParagraph"/>
              <w:numPr>
                <w:ilvl w:val="0"/>
                <w:numId w:val="41"/>
              </w:num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è stato trasmesso il relativo atto di costituzione del raggruppamento temporaneo?</w:t>
            </w:r>
          </w:p>
          <w:p w14:paraId="770CC047" w14:textId="3DD7ED18" w:rsidR="00B61097" w:rsidRPr="005E5535" w:rsidRDefault="00B61097" w:rsidP="00B61097">
            <w:pPr>
              <w:pStyle w:val="ListParagraph"/>
              <w:numPr>
                <w:ilvl w:val="0"/>
                <w:numId w:val="41"/>
              </w:num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gli operatori economici hanno conferito, con un unico atto, mandato collettivo speciale con rappresentanza ad uno di essi, detto mandatario?</w:t>
            </w:r>
          </w:p>
          <w:p w14:paraId="3F394EF1" w14:textId="2847AE95" w:rsidR="00B61097" w:rsidRPr="005E5535" w:rsidRDefault="00B61097" w:rsidP="00B61097">
            <w:pPr>
              <w:pStyle w:val="ListParagraph"/>
              <w:numPr>
                <w:ilvl w:val="0"/>
                <w:numId w:val="41"/>
              </w:num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il mandato risulta da scrittura privata autenticata?</w:t>
            </w:r>
          </w:p>
          <w:p w14:paraId="6B3BFACE" w14:textId="2468C46A" w:rsidR="00B61097" w:rsidRPr="005E5535" w:rsidRDefault="00B61097" w:rsidP="00B61097">
            <w:pPr>
              <w:pStyle w:val="ListParagraph"/>
              <w:numPr>
                <w:ilvl w:val="0"/>
                <w:numId w:val="41"/>
              </w:numPr>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lang w:eastAsia="it-IT"/>
              </w:rPr>
              <w:t>il mandato contiene la clausola con la quale la mandataria e le mandanti si impegnano a rispettare nei pagamenti le clausole di tracciabilità di cui alla pertinente normativa?</w:t>
            </w:r>
          </w:p>
        </w:tc>
        <w:tc>
          <w:tcPr>
            <w:tcW w:w="129" w:type="pct"/>
            <w:shd w:val="clear" w:color="auto" w:fill="auto"/>
            <w:vAlign w:val="center"/>
          </w:tcPr>
          <w:p w14:paraId="7711A13A" w14:textId="7777777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A631997" w14:textId="7777777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6D9A8DF" w14:textId="7777777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73045F6"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01F8A4C5" w14:textId="77777777" w:rsidR="00B61097" w:rsidRPr="00AC56F1"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1227813C" w14:textId="77777777" w:rsidR="00B61097" w:rsidRPr="00023F3C"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2619FBB" w14:textId="558BC4ED" w:rsidR="00B61097" w:rsidRPr="00AC56F1" w:rsidRDefault="00B61097" w:rsidP="00B61097">
            <w:pPr>
              <w:spacing w:after="0" w:line="240" w:lineRule="auto"/>
              <w:jc w:val="both"/>
              <w:rPr>
                <w:rFonts w:ascii="Garamond" w:eastAsia="Times New Roman" w:hAnsi="Garamond" w:cs="Times New Roman"/>
                <w:color w:val="000000"/>
                <w:lang w:eastAsia="it-IT"/>
              </w:rPr>
            </w:pPr>
            <w:r w:rsidRPr="00E74C7B">
              <w:rPr>
                <w:rFonts w:ascii="Garamond" w:eastAsia="Times New Roman" w:hAnsi="Garamond" w:cs="Times New Roman"/>
                <w:lang w:eastAsia="it-IT"/>
              </w:rPr>
              <w:t>• Atto di costituzione del raggruppamento temporaneo di concorrenti</w:t>
            </w:r>
          </w:p>
        </w:tc>
      </w:tr>
      <w:tr w:rsidR="00B61097" w:rsidRPr="00023F3C" w14:paraId="31F6EE96" w14:textId="77777777" w:rsidTr="009B30BC">
        <w:trPr>
          <w:trHeight w:val="834"/>
        </w:trPr>
        <w:tc>
          <w:tcPr>
            <w:tcW w:w="310" w:type="pct"/>
            <w:shd w:val="clear" w:color="auto" w:fill="auto"/>
            <w:vAlign w:val="center"/>
          </w:tcPr>
          <w:p w14:paraId="77C59978" w14:textId="3F6A8E21"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7C6A3201" w14:textId="77777777" w:rsidR="00B61097" w:rsidRPr="00DD464D" w:rsidRDefault="00B61097" w:rsidP="00B61097">
            <w:pPr>
              <w:spacing w:after="0" w:line="240" w:lineRule="auto"/>
              <w:jc w:val="both"/>
              <w:rPr>
                <w:rFonts w:ascii="Garamond" w:eastAsia="Times New Roman" w:hAnsi="Garamond" w:cs="Times New Roman"/>
                <w:color w:val="000000"/>
                <w:lang w:eastAsia="it-IT"/>
              </w:rPr>
            </w:pPr>
            <w:bookmarkStart w:id="0" w:name="_Hlk158124312"/>
            <w:r w:rsidRPr="00DD464D">
              <w:rPr>
                <w:rFonts w:ascii="Garamond" w:eastAsia="Times New Roman" w:hAnsi="Garamond" w:cs="Times New Roman"/>
                <w:color w:val="000000"/>
                <w:lang w:eastAsia="it-IT"/>
              </w:rPr>
              <w:t xml:space="preserve">Il contratto di appalto di importo pari o superiore alle soglie comunitarie di cui all’art. </w:t>
            </w:r>
            <w:r>
              <w:rPr>
                <w:rFonts w:ascii="Garamond" w:eastAsia="Times New Roman" w:hAnsi="Garamond" w:cs="Times New Roman"/>
                <w:color w:val="000000"/>
                <w:lang w:eastAsia="it-IT"/>
              </w:rPr>
              <w:t>14</w:t>
            </w:r>
            <w:r w:rsidRPr="00DD464D">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DD464D">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w:t>
            </w:r>
            <w:r w:rsidRPr="00DD464D">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DD464D">
              <w:rPr>
                <w:rFonts w:ascii="Garamond" w:eastAsia="Times New Roman" w:hAnsi="Garamond" w:cs="Times New Roman"/>
                <w:color w:val="000000"/>
                <w:lang w:eastAsia="it-IT"/>
              </w:rPr>
              <w:t xml:space="preserve"> è stato stipulato:</w:t>
            </w:r>
          </w:p>
          <w:p w14:paraId="110D40FC" w14:textId="586DEF0C" w:rsidR="00B61097" w:rsidRPr="005E5535" w:rsidRDefault="00B61097" w:rsidP="00B61097">
            <w:pPr>
              <w:pStyle w:val="ListParagraph"/>
              <w:numPr>
                <w:ilvl w:val="0"/>
                <w:numId w:val="43"/>
              </w:numPr>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color w:val="000000"/>
                <w:lang w:eastAsia="it-IT"/>
              </w:rPr>
              <w:t>dopo aver acquisito l’informativa antimafia di cui agli artt. 84, comma 3, 90 e 91, del D. Lgs. 159/2011 tramite la banca dati nazionale unica?</w:t>
            </w:r>
          </w:p>
          <w:bookmarkEnd w:id="0"/>
          <w:p w14:paraId="4482B753" w14:textId="77777777" w:rsidR="00B61097" w:rsidRPr="005E5535" w:rsidRDefault="00B61097" w:rsidP="00B61097">
            <w:pPr>
              <w:pStyle w:val="ListParagraph"/>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color w:val="000000"/>
                <w:lang w:eastAsia="it-IT"/>
              </w:rPr>
              <w:t>oppure</w:t>
            </w:r>
          </w:p>
          <w:p w14:paraId="65BFB255" w14:textId="1533D3B0" w:rsidR="00B61097" w:rsidRPr="005E5535" w:rsidRDefault="00B61097" w:rsidP="00B61097">
            <w:pPr>
              <w:pStyle w:val="ListParagraph"/>
              <w:numPr>
                <w:ilvl w:val="0"/>
                <w:numId w:val="43"/>
              </w:numPr>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color w:val="000000"/>
                <w:lang w:eastAsia="it-IT"/>
              </w:rPr>
              <w:lastRenderedPageBreak/>
              <w:t xml:space="preserve">nei casi di cui all’art. 92, comma 3, del D. Lgs. 159/2011 (decorso del termine di cui all’art. 92, comma 2 o in caso di urgenza): </w:t>
            </w:r>
          </w:p>
          <w:p w14:paraId="06295627" w14:textId="77777777" w:rsidR="00B61097" w:rsidRPr="005E5535" w:rsidRDefault="00B61097" w:rsidP="00B61097">
            <w:pPr>
              <w:pStyle w:val="ListParagraph"/>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color w:val="000000"/>
                <w:lang w:eastAsia="it-IT"/>
              </w:rPr>
              <w:t xml:space="preserve">b.1) sotto condizione risolutiva? </w:t>
            </w:r>
          </w:p>
          <w:p w14:paraId="729D86D4" w14:textId="7ADABF86" w:rsidR="00B61097" w:rsidRPr="005E5535" w:rsidRDefault="00B61097" w:rsidP="00B61097">
            <w:pPr>
              <w:pStyle w:val="ListParagraph"/>
              <w:spacing w:after="0" w:line="240" w:lineRule="auto"/>
              <w:jc w:val="both"/>
              <w:rPr>
                <w:rFonts w:ascii="Garamond" w:eastAsia="Times New Roman" w:hAnsi="Garamond" w:cs="Times New Roman"/>
                <w:color w:val="000000"/>
                <w:lang w:eastAsia="it-IT"/>
              </w:rPr>
            </w:pPr>
            <w:r w:rsidRPr="005E5535">
              <w:rPr>
                <w:rFonts w:ascii="Garamond" w:eastAsia="Times New Roman" w:hAnsi="Garamond" w:cs="Times New Roman"/>
                <w:color w:val="000000"/>
                <w:lang w:eastAsia="it-IT"/>
              </w:rPr>
              <w:t>b.2) In caso di urgenza, è presente una congrua motivazione circa le ragioni d’urgenza?</w:t>
            </w:r>
          </w:p>
        </w:tc>
        <w:tc>
          <w:tcPr>
            <w:tcW w:w="129" w:type="pct"/>
            <w:shd w:val="clear" w:color="auto" w:fill="auto"/>
            <w:vAlign w:val="center"/>
          </w:tcPr>
          <w:p w14:paraId="204A652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116956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A6E784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B08BF77"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59A60E3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EC4EAF4" w14:textId="77777777" w:rsidR="00B61097" w:rsidRPr="005E5535" w:rsidRDefault="00B61097" w:rsidP="00B61097">
            <w:pPr>
              <w:spacing w:after="0" w:line="240" w:lineRule="auto"/>
              <w:jc w:val="both"/>
              <w:rPr>
                <w:rFonts w:ascii="Garamond" w:eastAsia="Times New Roman" w:hAnsi="Garamond" w:cs="Times New Roman"/>
                <w:lang w:eastAsia="it-IT"/>
              </w:rPr>
            </w:pPr>
          </w:p>
        </w:tc>
        <w:tc>
          <w:tcPr>
            <w:tcW w:w="1150" w:type="pct"/>
            <w:shd w:val="clear" w:color="auto" w:fill="auto"/>
            <w:vAlign w:val="center"/>
          </w:tcPr>
          <w:p w14:paraId="62A9287B" w14:textId="370827C4" w:rsidR="00B61097" w:rsidRPr="005E5535" w:rsidRDefault="00B61097" w:rsidP="00B61097">
            <w:p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 xml:space="preserve">• </w:t>
            </w:r>
            <w:r w:rsidRPr="005E5535">
              <w:t xml:space="preserve"> </w:t>
            </w:r>
            <w:r w:rsidRPr="005E5535">
              <w:rPr>
                <w:rFonts w:ascii="Garamond" w:eastAsia="Times New Roman" w:hAnsi="Garamond" w:cs="Times New Roman"/>
                <w:lang w:eastAsia="it-IT"/>
              </w:rPr>
              <w:t xml:space="preserve"> Contratto</w:t>
            </w:r>
          </w:p>
          <w:p w14:paraId="0E82D698" w14:textId="77777777" w:rsidR="00B61097" w:rsidRPr="005E5535" w:rsidRDefault="00B61097" w:rsidP="00B61097">
            <w:p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 Informazione antimafia</w:t>
            </w:r>
          </w:p>
          <w:p w14:paraId="527D74CE" w14:textId="4C6F4BE0" w:rsidR="00B61097" w:rsidRPr="005E5535" w:rsidRDefault="00B61097" w:rsidP="00B61097">
            <w:pPr>
              <w:spacing w:after="0" w:line="240" w:lineRule="auto"/>
              <w:jc w:val="both"/>
              <w:rPr>
                <w:rFonts w:ascii="Garamond" w:eastAsia="Times New Roman" w:hAnsi="Garamond" w:cs="Times New Roman"/>
                <w:lang w:eastAsia="it-IT"/>
              </w:rPr>
            </w:pPr>
            <w:r w:rsidRPr="005E5535">
              <w:rPr>
                <w:rFonts w:ascii="Garamond" w:eastAsia="Times New Roman" w:hAnsi="Garamond" w:cs="Times New Roman"/>
                <w:lang w:eastAsia="it-IT"/>
              </w:rPr>
              <w:t>• Richiesta informazione liberatoria provvisoria</w:t>
            </w:r>
          </w:p>
        </w:tc>
      </w:tr>
      <w:tr w:rsidR="00B61097" w:rsidRPr="00023F3C" w14:paraId="06965E2F" w14:textId="77777777" w:rsidTr="009B30BC">
        <w:trPr>
          <w:trHeight w:val="834"/>
        </w:trPr>
        <w:tc>
          <w:tcPr>
            <w:tcW w:w="310" w:type="pct"/>
            <w:shd w:val="clear" w:color="auto" w:fill="auto"/>
            <w:vAlign w:val="center"/>
          </w:tcPr>
          <w:p w14:paraId="73DA7FBC" w14:textId="4BEFBF9E" w:rsidR="00B61097" w:rsidRDefault="00A6799E"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64" w:type="pct"/>
            <w:shd w:val="clear" w:color="auto" w:fill="auto"/>
            <w:vAlign w:val="center"/>
          </w:tcPr>
          <w:p w14:paraId="2B71BB8C" w14:textId="2BCC3896" w:rsidR="00B61097" w:rsidRPr="00474EA0"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 del D. Lgs. 36/2023?</w:t>
            </w:r>
          </w:p>
        </w:tc>
        <w:tc>
          <w:tcPr>
            <w:tcW w:w="129" w:type="pct"/>
            <w:shd w:val="clear" w:color="auto" w:fill="auto"/>
            <w:vAlign w:val="center"/>
          </w:tcPr>
          <w:p w14:paraId="4534A82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022AB4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D1223A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BEE9B7A" w14:textId="77777777" w:rsidR="00B61097" w:rsidRPr="00AC56F1" w:rsidRDefault="00B61097" w:rsidP="00B61097">
            <w:pPr>
              <w:spacing w:after="0" w:line="240" w:lineRule="auto"/>
              <w:jc w:val="both"/>
              <w:rPr>
                <w:rFonts w:ascii="Garamond" w:eastAsia="Times New Roman" w:hAnsi="Garamond" w:cs="Times New Roman"/>
                <w:color w:val="000000"/>
                <w:lang w:eastAsia="it-IT"/>
              </w:rPr>
            </w:pPr>
          </w:p>
        </w:tc>
        <w:tc>
          <w:tcPr>
            <w:tcW w:w="619" w:type="pct"/>
            <w:shd w:val="clear" w:color="auto" w:fill="auto"/>
            <w:vAlign w:val="center"/>
          </w:tcPr>
          <w:p w14:paraId="6BCF810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275AE2F" w14:textId="77777777" w:rsidR="00B61097" w:rsidRPr="008E64E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96863FC" w14:textId="1467F02D" w:rsidR="00B61097" w:rsidRPr="008E64EF" w:rsidRDefault="00B61097" w:rsidP="00B61097">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64D0A53E" w14:textId="77777777" w:rsidR="00B61097" w:rsidRPr="008E64EF" w:rsidRDefault="00B61097" w:rsidP="00B61097">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6DA5A420" w14:textId="33602E8A" w:rsidR="00B61097" w:rsidRPr="00023F3C" w:rsidRDefault="00B61097" w:rsidP="00B61097">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C56AC5" w:rsidRPr="00023F3C" w14:paraId="263E2078" w14:textId="77777777" w:rsidTr="00326B55">
        <w:trPr>
          <w:trHeight w:val="1030"/>
        </w:trPr>
        <w:tc>
          <w:tcPr>
            <w:tcW w:w="310" w:type="pct"/>
            <w:shd w:val="clear" w:color="auto" w:fill="auto"/>
            <w:vAlign w:val="center"/>
          </w:tcPr>
          <w:p w14:paraId="0DDD2D4D" w14:textId="71DE5A09" w:rsidR="00C56AC5" w:rsidRDefault="00C56AC5" w:rsidP="00C56AC5">
            <w:pPr>
              <w:spacing w:after="0" w:line="240" w:lineRule="auto"/>
              <w:jc w:val="center"/>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7</w:t>
            </w:r>
          </w:p>
        </w:tc>
        <w:tc>
          <w:tcPr>
            <w:tcW w:w="1464" w:type="pct"/>
            <w:shd w:val="clear" w:color="auto" w:fill="auto"/>
            <w:vAlign w:val="center"/>
          </w:tcPr>
          <w:p w14:paraId="791F9BB1" w14:textId="7A311044" w:rsidR="00C56AC5" w:rsidRDefault="00C56AC5" w:rsidP="00C56AC5">
            <w:pPr>
              <w:spacing w:before="120" w:after="120"/>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Il contratto è stato firmato da soggetti con poteri di firma?</w:t>
            </w:r>
          </w:p>
        </w:tc>
        <w:tc>
          <w:tcPr>
            <w:tcW w:w="129" w:type="pct"/>
            <w:shd w:val="clear" w:color="auto" w:fill="auto"/>
            <w:vAlign w:val="center"/>
          </w:tcPr>
          <w:p w14:paraId="4CA4C265" w14:textId="77777777" w:rsidR="00C56AC5" w:rsidRPr="00023F3C" w:rsidRDefault="00C56AC5" w:rsidP="00C56AC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7C28883" w14:textId="77777777" w:rsidR="00C56AC5" w:rsidRPr="00023F3C" w:rsidRDefault="00C56AC5" w:rsidP="00C56AC5">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CFBF20B" w14:textId="77777777" w:rsidR="00C56AC5" w:rsidRPr="00023F3C" w:rsidRDefault="00C56AC5" w:rsidP="00C56AC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8814B6A" w14:textId="77777777" w:rsidR="00C56AC5" w:rsidRPr="00023F3C" w:rsidRDefault="00C56AC5" w:rsidP="00C56AC5">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7336FCEB" w14:textId="77777777" w:rsidR="00C56AC5" w:rsidRPr="00023F3C" w:rsidRDefault="00C56AC5" w:rsidP="00C56AC5">
            <w:pPr>
              <w:spacing w:after="0" w:line="240" w:lineRule="auto"/>
              <w:jc w:val="both"/>
              <w:rPr>
                <w:rFonts w:ascii="Garamond" w:eastAsia="Times New Roman" w:hAnsi="Garamond" w:cs="Times New Roman"/>
                <w:b/>
                <w:bCs/>
                <w:color w:val="000000"/>
                <w:lang w:eastAsia="it-IT"/>
              </w:rPr>
            </w:pPr>
          </w:p>
        </w:tc>
        <w:tc>
          <w:tcPr>
            <w:tcW w:w="399" w:type="pct"/>
            <w:vAlign w:val="center"/>
          </w:tcPr>
          <w:p w14:paraId="1F91B44A" w14:textId="77777777" w:rsidR="00C56AC5" w:rsidRPr="00522B0F" w:rsidRDefault="00C56AC5" w:rsidP="00C56AC5">
            <w:pPr>
              <w:spacing w:after="0" w:line="240" w:lineRule="auto"/>
              <w:jc w:val="both"/>
              <w:rPr>
                <w:rFonts w:ascii="Garamond" w:eastAsia="Times New Roman" w:hAnsi="Garamond" w:cs="Times New Roman"/>
                <w:color w:val="000000"/>
                <w:lang w:eastAsia="it-IT"/>
              </w:rPr>
            </w:pPr>
          </w:p>
        </w:tc>
        <w:tc>
          <w:tcPr>
            <w:tcW w:w="1150" w:type="pct"/>
            <w:vAlign w:val="center"/>
          </w:tcPr>
          <w:p w14:paraId="4749EA6D" w14:textId="77777777" w:rsidR="00C56AC5" w:rsidRPr="00B43450" w:rsidRDefault="00C56AC5" w:rsidP="00C56AC5">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Contratto</w:t>
            </w:r>
          </w:p>
          <w:p w14:paraId="79B33CD3" w14:textId="77777777" w:rsidR="00C56AC5" w:rsidRPr="00B43450" w:rsidRDefault="00C56AC5" w:rsidP="00C56AC5">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Eventuali procure speciali</w:t>
            </w:r>
          </w:p>
          <w:p w14:paraId="6C3153B3" w14:textId="77777777" w:rsidR="00C56AC5" w:rsidRPr="00B43450" w:rsidRDefault="00C56AC5" w:rsidP="00C56AC5">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Visura della competente camera di commercio</w:t>
            </w:r>
          </w:p>
          <w:p w14:paraId="33BE4A88" w14:textId="3B64ED58" w:rsidR="00C56AC5" w:rsidRPr="00522B0F" w:rsidRDefault="00C56AC5" w:rsidP="00C56AC5">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Report esito firma digitale eventualmente apposta</w:t>
            </w:r>
          </w:p>
        </w:tc>
      </w:tr>
      <w:tr w:rsidR="00B61097" w:rsidRPr="00023F3C" w14:paraId="2898658E" w14:textId="77777777" w:rsidTr="009B30BC">
        <w:trPr>
          <w:trHeight w:val="1030"/>
        </w:trPr>
        <w:tc>
          <w:tcPr>
            <w:tcW w:w="310" w:type="pct"/>
            <w:shd w:val="clear" w:color="auto" w:fill="auto"/>
            <w:vAlign w:val="center"/>
          </w:tcPr>
          <w:p w14:paraId="08DECAFF" w14:textId="029A1E25" w:rsidR="00B61097" w:rsidRDefault="00C56AC5"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64" w:type="pct"/>
            <w:shd w:val="clear" w:color="auto" w:fill="auto"/>
            <w:vAlign w:val="center"/>
          </w:tcPr>
          <w:p w14:paraId="661E4C56" w14:textId="618BAE99" w:rsidR="00B61097" w:rsidRDefault="00B61097" w:rsidP="00B61097">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w:t>
            </w:r>
            <w:r w:rsidR="006F4881">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 117 e all’art. 106 del D. Lgs. 36/2023?</w:t>
            </w:r>
          </w:p>
        </w:tc>
        <w:tc>
          <w:tcPr>
            <w:tcW w:w="129" w:type="pct"/>
            <w:shd w:val="clear" w:color="auto" w:fill="auto"/>
            <w:vAlign w:val="center"/>
          </w:tcPr>
          <w:p w14:paraId="336365D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745F65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20750C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DB2A37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1936809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3623FD87"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AEF478A" w14:textId="1B0FD72E"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definitiva, emessa da soggetti autorizzati</w:t>
            </w:r>
          </w:p>
        </w:tc>
      </w:tr>
      <w:tr w:rsidR="00B61097" w:rsidRPr="00023F3C" w14:paraId="26CEC3A8" w14:textId="77777777" w:rsidTr="009B30BC">
        <w:trPr>
          <w:trHeight w:val="1030"/>
        </w:trPr>
        <w:tc>
          <w:tcPr>
            <w:tcW w:w="310" w:type="pct"/>
            <w:shd w:val="clear" w:color="auto" w:fill="auto"/>
            <w:vAlign w:val="center"/>
          </w:tcPr>
          <w:p w14:paraId="008350A4" w14:textId="5DC13F4D" w:rsidR="00B61097" w:rsidRDefault="00C56AC5"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64" w:type="pct"/>
            <w:shd w:val="clear" w:color="auto" w:fill="auto"/>
            <w:vAlign w:val="center"/>
          </w:tcPr>
          <w:p w14:paraId="027CB0BF" w14:textId="7BD9CF9A" w:rsidR="00B61097" w:rsidRDefault="00B61097" w:rsidP="00B61097">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Laddove la Stazione Appaltante si sia avvalsa della facoltà di esonero della garanzia definitiva ai sensi dell’art. 117, comma 14, del D. Lgs. 36/2023, ha:</w:t>
            </w:r>
          </w:p>
          <w:p w14:paraId="04953AA0" w14:textId="77777777" w:rsidR="00B61097" w:rsidRDefault="00B61097" w:rsidP="00B61097">
            <w:pPr>
              <w:pStyle w:val="ListParagraph"/>
              <w:numPr>
                <w:ilvl w:val="0"/>
                <w:numId w:val="19"/>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lastRenderedPageBreak/>
              <w:t>debitamente motivat</w:t>
            </w:r>
            <w:r>
              <w:rPr>
                <w:rFonts w:ascii="Garamond" w:eastAsia="Times New Roman" w:hAnsi="Garamond" w:cs="Times New Roman"/>
                <w:color w:val="000000"/>
                <w:lang w:eastAsia="it-IT"/>
              </w:rPr>
              <w:t>o, ai sensi del comma 14 dell’art. 117 del D. Lgs. 36/2023</w:t>
            </w:r>
            <w:r w:rsidRPr="00547616">
              <w:rPr>
                <w:rFonts w:ascii="Garamond" w:eastAsia="Times New Roman" w:hAnsi="Garamond" w:cs="Times New Roman"/>
                <w:color w:val="000000"/>
                <w:lang w:eastAsia="it-IT"/>
              </w:rPr>
              <w:t>?</w:t>
            </w:r>
          </w:p>
          <w:p w14:paraId="48B94260" w14:textId="6BF6B82F" w:rsidR="00B61097" w:rsidRPr="0003652E" w:rsidRDefault="00B61097" w:rsidP="00B61097">
            <w:pPr>
              <w:pStyle w:val="ListParagraph"/>
              <w:numPr>
                <w:ilvl w:val="0"/>
                <w:numId w:val="19"/>
              </w:numPr>
              <w:spacing w:before="120" w:after="120"/>
              <w:jc w:val="both"/>
              <w:rPr>
                <w:rFonts w:ascii="Garamond" w:eastAsia="Times New Roman" w:hAnsi="Garamond" w:cs="Times New Roman"/>
                <w:color w:val="000000"/>
                <w:lang w:eastAsia="it-IT"/>
              </w:rPr>
            </w:pPr>
            <w:r w:rsidRPr="00522D67">
              <w:rPr>
                <w:rFonts w:ascii="Garamond" w:eastAsia="Times New Roman" w:hAnsi="Garamond" w:cs="Times New Roman"/>
                <w:color w:val="000000"/>
                <w:lang w:eastAsia="it-IT"/>
              </w:rPr>
              <w:t>subordinato l’esonero al miglioramento del prezzo di aggiudicazione ovvero delle condizioni di esecuzione?</w:t>
            </w:r>
          </w:p>
        </w:tc>
        <w:tc>
          <w:tcPr>
            <w:tcW w:w="129" w:type="pct"/>
            <w:shd w:val="clear" w:color="auto" w:fill="auto"/>
            <w:vAlign w:val="center"/>
          </w:tcPr>
          <w:p w14:paraId="0634297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A271E8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9CA331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D181A8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0BFA1C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5EF1BC9"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304CC69" w14:textId="77777777" w:rsidR="00B61097"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A22D80D" w14:textId="77777777" w:rsidR="00B61097"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725AF751" w14:textId="47FDF16E" w:rsidR="00B61097" w:rsidRPr="00023F3C"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7C5BDDAC" w14:textId="77777777" w:rsidTr="009B30BC">
        <w:trPr>
          <w:trHeight w:val="1417"/>
        </w:trPr>
        <w:tc>
          <w:tcPr>
            <w:tcW w:w="310" w:type="pct"/>
            <w:shd w:val="clear" w:color="auto" w:fill="auto"/>
            <w:vAlign w:val="center"/>
          </w:tcPr>
          <w:p w14:paraId="2516F36C" w14:textId="0858E4C0" w:rsidR="00B61097" w:rsidRDefault="00C56AC5"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64" w:type="pct"/>
            <w:shd w:val="clear" w:color="auto" w:fill="auto"/>
            <w:vAlign w:val="center"/>
          </w:tcPr>
          <w:p w14:paraId="7C854CA0" w14:textId="1B9C45C3" w:rsidR="00B61097" w:rsidRPr="00023F3C"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La misura delle penali previste per il ritardo nell’esecuzione delle prestazioni contrattuali è stata fissata nel rispetto di quanto stabilito dall’art. 126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tc>
        <w:tc>
          <w:tcPr>
            <w:tcW w:w="129" w:type="pct"/>
            <w:shd w:val="clear" w:color="auto" w:fill="auto"/>
            <w:vAlign w:val="center"/>
          </w:tcPr>
          <w:p w14:paraId="20D9808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3246BD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7493AA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F5BA03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91F04E6" w14:textId="4DCC712E" w:rsidR="00B61097" w:rsidRPr="00023F3C" w:rsidRDefault="00B61097" w:rsidP="00B61097">
            <w:pPr>
              <w:spacing w:after="0" w:line="240" w:lineRule="auto"/>
              <w:jc w:val="both"/>
              <w:rPr>
                <w:rFonts w:ascii="Garamond" w:eastAsia="Times New Roman" w:hAnsi="Garamond" w:cs="Times New Roman"/>
                <w:b/>
                <w:bCs/>
                <w:color w:val="000000"/>
                <w:lang w:eastAsia="it-IT"/>
              </w:rPr>
            </w:pPr>
            <w:r w:rsidRPr="00662137">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B</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w:t>
            </w:r>
            <w:r>
              <w:rPr>
                <w:rFonts w:ascii="Garamond" w:eastAsia="Times New Roman" w:hAnsi="Garamond" w:cs="Times New Roman"/>
                <w:color w:val="2F5496" w:themeColor="accent1" w:themeShade="BF"/>
                <w:lang w:eastAsia="it-IT"/>
              </w:rPr>
              <w:t>A</w:t>
            </w:r>
            <w:r w:rsidRPr="00662137">
              <w:rPr>
                <w:rFonts w:ascii="Garamond" w:eastAsia="Times New Roman" w:hAnsi="Garamond" w:cs="Times New Roman"/>
                <w:color w:val="2F5496" w:themeColor="accent1" w:themeShade="BF"/>
                <w:lang w:eastAsia="it-IT"/>
              </w:rPr>
              <w:t xml:space="preserve"> partire dal 31 gennaio 2024</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il tetto delle penali è stato modificato prevedendo una soglia compresa tra lo 0,5 per mille e l’1, 5 per mille.  </w:t>
            </w:r>
          </w:p>
        </w:tc>
        <w:tc>
          <w:tcPr>
            <w:tcW w:w="399" w:type="pct"/>
          </w:tcPr>
          <w:p w14:paraId="460BC2FF"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C448980" w14:textId="552D0329" w:rsidR="00B61097" w:rsidRPr="00522B0F"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Contratto</w:t>
            </w:r>
          </w:p>
        </w:tc>
      </w:tr>
      <w:tr w:rsidR="00B61097" w:rsidRPr="00023F3C" w14:paraId="30570B67" w14:textId="77777777" w:rsidTr="009B30BC">
        <w:trPr>
          <w:trHeight w:val="1024"/>
        </w:trPr>
        <w:tc>
          <w:tcPr>
            <w:tcW w:w="310" w:type="pct"/>
            <w:shd w:val="clear" w:color="auto" w:fill="auto"/>
            <w:vAlign w:val="center"/>
          </w:tcPr>
          <w:p w14:paraId="1D27FA32" w14:textId="6BDF545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C56AC5">
              <w:rPr>
                <w:rFonts w:ascii="Garamond" w:eastAsia="Times New Roman" w:hAnsi="Garamond" w:cs="Times New Roman"/>
                <w:color w:val="000000"/>
                <w:lang w:eastAsia="it-IT"/>
              </w:rPr>
              <w:t>1</w:t>
            </w:r>
          </w:p>
        </w:tc>
        <w:tc>
          <w:tcPr>
            <w:tcW w:w="1464" w:type="pct"/>
            <w:shd w:val="clear" w:color="auto" w:fill="auto"/>
            <w:vAlign w:val="center"/>
          </w:tcPr>
          <w:p w14:paraId="21B608F6" w14:textId="009D3DA9" w:rsidR="00B61097" w:rsidRPr="00D815CE" w:rsidRDefault="00B61097" w:rsidP="00B61097">
            <w:pPr>
              <w:spacing w:after="0" w:line="240" w:lineRule="auto"/>
              <w:jc w:val="both"/>
              <w:rPr>
                <w:rFonts w:ascii="Garamond" w:eastAsia="Times New Roman" w:hAnsi="Garamond" w:cs="Times New Roman"/>
                <w:color w:val="000000"/>
                <w:lang w:eastAsia="it-IT"/>
              </w:rPr>
            </w:pPr>
            <w:r w:rsidRPr="007423ED">
              <w:rPr>
                <w:rFonts w:ascii="Garamond" w:eastAsia="Times New Roman" w:hAnsi="Garamond" w:cs="Times New Roman"/>
                <w:color w:val="000000"/>
                <w:lang w:eastAsia="it-IT"/>
              </w:rPr>
              <w:t>La durata contrattuale è coerente rispetto alla tempistica indicata nel progetto/investimento/riforma e la spesa ad esso relativa rientra tra le tipologie ammissibili secondo la normativa comunitaria e nazionale?</w:t>
            </w:r>
          </w:p>
        </w:tc>
        <w:tc>
          <w:tcPr>
            <w:tcW w:w="129" w:type="pct"/>
            <w:shd w:val="clear" w:color="auto" w:fill="auto"/>
            <w:vAlign w:val="center"/>
          </w:tcPr>
          <w:p w14:paraId="5F82931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F50DAE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BE9AC3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E7FFEC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F5E5230" w14:textId="05622669"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B81A12D"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7C761BF5" w14:textId="77777777" w:rsidR="00B61097" w:rsidRPr="00546CAC" w:rsidRDefault="00B61097" w:rsidP="00B61097">
            <w:pPr>
              <w:spacing w:after="0" w:line="240" w:lineRule="auto"/>
              <w:jc w:val="both"/>
              <w:rPr>
                <w:rFonts w:ascii="Garamond" w:eastAsia="Times New Roman" w:hAnsi="Garamond" w:cs="Times New Roman"/>
                <w:color w:val="000000"/>
                <w:lang w:eastAsia="it-IT"/>
              </w:rPr>
            </w:pPr>
            <w:r w:rsidRPr="00546CAC">
              <w:rPr>
                <w:rFonts w:ascii="Garamond" w:eastAsia="Times New Roman" w:hAnsi="Garamond" w:cs="Times New Roman"/>
                <w:color w:val="000000"/>
                <w:lang w:eastAsia="it-IT"/>
              </w:rPr>
              <w:t>• Scheda progetto/investimento</w:t>
            </w:r>
          </w:p>
          <w:p w14:paraId="5A1B8BA3" w14:textId="77777777" w:rsidR="00B61097" w:rsidRPr="00546CAC" w:rsidRDefault="00B61097" w:rsidP="00B61097">
            <w:pPr>
              <w:spacing w:after="0" w:line="240" w:lineRule="auto"/>
              <w:jc w:val="both"/>
              <w:rPr>
                <w:rFonts w:ascii="Garamond" w:eastAsia="Times New Roman" w:hAnsi="Garamond" w:cs="Times New Roman"/>
                <w:color w:val="000000"/>
                <w:lang w:eastAsia="it-IT"/>
              </w:rPr>
            </w:pPr>
            <w:r w:rsidRPr="00546CAC">
              <w:rPr>
                <w:rFonts w:ascii="Garamond" w:eastAsia="Times New Roman" w:hAnsi="Garamond" w:cs="Times New Roman"/>
                <w:color w:val="000000"/>
                <w:lang w:eastAsia="it-IT"/>
              </w:rPr>
              <w:t>• Contratto</w:t>
            </w:r>
          </w:p>
          <w:p w14:paraId="1083EE3B" w14:textId="6DC8D796" w:rsidR="00B61097" w:rsidRPr="00522B0F" w:rsidRDefault="00B61097" w:rsidP="00B61097">
            <w:pPr>
              <w:spacing w:after="0" w:line="240" w:lineRule="auto"/>
              <w:jc w:val="both"/>
              <w:rPr>
                <w:rFonts w:ascii="Garamond" w:eastAsia="Times New Roman" w:hAnsi="Garamond" w:cs="Times New Roman"/>
                <w:color w:val="000000"/>
                <w:lang w:eastAsia="it-IT"/>
              </w:rPr>
            </w:pPr>
            <w:r w:rsidRPr="00546CAC">
              <w:rPr>
                <w:rFonts w:ascii="Garamond" w:eastAsia="Times New Roman" w:hAnsi="Garamond" w:cs="Times New Roman"/>
                <w:color w:val="000000"/>
                <w:lang w:eastAsia="it-IT"/>
              </w:rPr>
              <w:t>• Linee guida ammissibilità</w:t>
            </w:r>
          </w:p>
        </w:tc>
      </w:tr>
      <w:tr w:rsidR="00B61097" w:rsidRPr="00023F3C" w14:paraId="5CF3FE61" w14:textId="77777777" w:rsidTr="009B30BC">
        <w:trPr>
          <w:trHeight w:val="1124"/>
        </w:trPr>
        <w:tc>
          <w:tcPr>
            <w:tcW w:w="310" w:type="pct"/>
            <w:shd w:val="clear" w:color="auto" w:fill="auto"/>
            <w:vAlign w:val="center"/>
          </w:tcPr>
          <w:p w14:paraId="3B2945BE" w14:textId="37CBE971"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C56AC5">
              <w:rPr>
                <w:rFonts w:ascii="Garamond" w:eastAsia="Times New Roman" w:hAnsi="Garamond" w:cs="Times New Roman"/>
                <w:color w:val="000000"/>
                <w:lang w:eastAsia="it-IT"/>
              </w:rPr>
              <w:t>2</w:t>
            </w:r>
          </w:p>
        </w:tc>
        <w:tc>
          <w:tcPr>
            <w:tcW w:w="1464" w:type="pct"/>
            <w:shd w:val="clear" w:color="auto" w:fill="auto"/>
            <w:vAlign w:val="center"/>
          </w:tcPr>
          <w:p w14:paraId="39656570" w14:textId="1D6F1D95"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contenuto contrattuale rispecchia quanto definito in offerta?</w:t>
            </w:r>
          </w:p>
        </w:tc>
        <w:tc>
          <w:tcPr>
            <w:tcW w:w="129" w:type="pct"/>
            <w:shd w:val="clear" w:color="auto" w:fill="auto"/>
            <w:vAlign w:val="center"/>
          </w:tcPr>
          <w:p w14:paraId="01F1443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FD3CE1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B966B2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49A82D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669BA9EF" w14:textId="77777777" w:rsidR="00B61097" w:rsidRDefault="00B61097" w:rsidP="00B61097">
            <w:pPr>
              <w:spacing w:after="0" w:line="240" w:lineRule="auto"/>
              <w:jc w:val="both"/>
              <w:rPr>
                <w:rFonts w:ascii="Garamond" w:eastAsia="Times New Roman" w:hAnsi="Garamond" w:cs="Times New Roman"/>
                <w:color w:val="2F5496" w:themeColor="accent1" w:themeShade="BF"/>
                <w:lang w:eastAsia="it-IT"/>
              </w:rPr>
            </w:pPr>
          </w:p>
        </w:tc>
        <w:tc>
          <w:tcPr>
            <w:tcW w:w="399" w:type="pct"/>
            <w:vAlign w:val="center"/>
          </w:tcPr>
          <w:p w14:paraId="7CD318A7"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ACE99E5" w14:textId="77777777" w:rsidR="00B61097" w:rsidRPr="003E746D" w:rsidRDefault="00B61097" w:rsidP="00B61097">
            <w:pPr>
              <w:spacing w:after="0" w:line="240" w:lineRule="auto"/>
              <w:jc w:val="both"/>
              <w:rPr>
                <w:rFonts w:ascii="Garamond" w:eastAsia="Times New Roman" w:hAnsi="Garamond" w:cs="Times New Roman"/>
                <w:color w:val="000000"/>
                <w:lang w:eastAsia="it-IT"/>
              </w:rPr>
            </w:pPr>
            <w:r w:rsidRPr="003E746D">
              <w:rPr>
                <w:rFonts w:ascii="Garamond" w:eastAsia="Times New Roman" w:hAnsi="Garamond" w:cs="Times New Roman"/>
                <w:color w:val="000000"/>
                <w:lang w:eastAsia="it-IT"/>
              </w:rPr>
              <w:t>• Contratto</w:t>
            </w:r>
          </w:p>
          <w:p w14:paraId="4965AEE9"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71A7998D" w14:textId="47DEE2F1" w:rsidTr="009B30BC">
        <w:trPr>
          <w:trHeight w:val="1124"/>
        </w:trPr>
        <w:tc>
          <w:tcPr>
            <w:tcW w:w="310" w:type="pct"/>
            <w:shd w:val="clear" w:color="auto" w:fill="auto"/>
            <w:vAlign w:val="center"/>
          </w:tcPr>
          <w:p w14:paraId="6A6B3674" w14:textId="1076A506"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C56AC5">
              <w:rPr>
                <w:rFonts w:ascii="Garamond" w:eastAsia="Times New Roman" w:hAnsi="Garamond" w:cs="Times New Roman"/>
                <w:color w:val="000000"/>
                <w:lang w:eastAsia="it-IT"/>
              </w:rPr>
              <w:t>3</w:t>
            </w:r>
          </w:p>
        </w:tc>
        <w:tc>
          <w:tcPr>
            <w:tcW w:w="1464" w:type="pct"/>
            <w:shd w:val="clear" w:color="auto" w:fill="auto"/>
            <w:vAlign w:val="center"/>
          </w:tcPr>
          <w:p w14:paraId="7719DD5F" w14:textId="258DF60D" w:rsidR="00B61097" w:rsidRPr="00D815CE"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w:t>
            </w:r>
            <w:r w:rsidRPr="00474EA0">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29" w:type="pct"/>
            <w:shd w:val="clear" w:color="auto" w:fill="auto"/>
            <w:vAlign w:val="center"/>
          </w:tcPr>
          <w:p w14:paraId="364E705C" w14:textId="481D5901"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A395428" w14:textId="28EC62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45E8177" w14:textId="0F8A46AD"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8995A51" w14:textId="46C60D59"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E2AB615" w14:textId="4ECDA9A6" w:rsidR="00B61097" w:rsidRPr="00023F3C" w:rsidRDefault="00B61097" w:rsidP="00B61097">
            <w:pPr>
              <w:spacing w:after="0" w:line="240" w:lineRule="auto"/>
              <w:jc w:val="both"/>
              <w:rPr>
                <w:rFonts w:ascii="Garamond" w:eastAsia="Times New Roman" w:hAnsi="Garamond" w:cs="Times New Roman"/>
                <w:b/>
                <w:bCs/>
                <w:color w:val="000000"/>
                <w:lang w:eastAsia="it-IT"/>
              </w:rPr>
            </w:pPr>
            <w:r w:rsidRPr="009522B0">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B. A partire dal 31 gennaio 2024</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 xml:space="preserve"> l’importo dell’anticipaz</w:t>
            </w:r>
            <w:r>
              <w:rPr>
                <w:rFonts w:ascii="Garamond" w:eastAsia="Times New Roman" w:hAnsi="Garamond" w:cs="Times New Roman"/>
                <w:color w:val="2F5496" w:themeColor="accent1" w:themeShade="BF"/>
                <w:lang w:eastAsia="it-IT"/>
              </w:rPr>
              <w:t xml:space="preserve">ione </w:t>
            </w:r>
            <w:r w:rsidRPr="00D20BD2">
              <w:rPr>
                <w:rFonts w:ascii="Garamond" w:eastAsia="Times New Roman" w:hAnsi="Garamond" w:cs="Times New Roman"/>
                <w:color w:val="2F5496" w:themeColor="accent1" w:themeShade="BF"/>
                <w:lang w:eastAsia="it-IT"/>
              </w:rPr>
              <w:t>è corrisposta all'</w:t>
            </w:r>
            <w:r w:rsidR="006F4881">
              <w:rPr>
                <w:rFonts w:ascii="Garamond" w:eastAsia="Times New Roman" w:hAnsi="Garamond" w:cs="Times New Roman"/>
                <w:color w:val="2F5496" w:themeColor="accent1" w:themeShade="BF"/>
                <w:lang w:eastAsia="it-IT"/>
              </w:rPr>
              <w:t>Appaltatore</w:t>
            </w:r>
            <w:r w:rsidRPr="00D20BD2">
              <w:rPr>
                <w:rFonts w:ascii="Garamond" w:eastAsia="Times New Roman" w:hAnsi="Garamond" w:cs="Times New Roman"/>
                <w:color w:val="2F5496" w:themeColor="accent1" w:themeShade="BF"/>
                <w:lang w:eastAsia="it-IT"/>
              </w:rPr>
              <w:t xml:space="preserve"> entro quindici giorni dall'effettivo inizio della prestazione.</w:t>
            </w:r>
            <w:r>
              <w:rPr>
                <w:rFonts w:ascii="Garamond" w:eastAsia="Times New Roman" w:hAnsi="Garamond" w:cs="Times New Roman"/>
                <w:color w:val="2F5496" w:themeColor="accent1" w:themeShade="BF"/>
                <w:lang w:eastAsia="it-IT"/>
              </w:rPr>
              <w:t xml:space="preserve"> Inoltre, p</w:t>
            </w:r>
            <w:r w:rsidRPr="00D20BD2">
              <w:rPr>
                <w:rFonts w:ascii="Garamond" w:eastAsia="Times New Roman" w:hAnsi="Garamond" w:cs="Times New Roman"/>
                <w:color w:val="2F5496" w:themeColor="accent1" w:themeShade="BF"/>
                <w:lang w:eastAsia="it-IT"/>
              </w:rPr>
              <w:t>er i contratti di importo superiore a 500 milioni di euro, l'anticipazione è corrisposta nel rispetto delle scadenze definite nel contratto, tenuto conto del cronoprogramma delle attività.</w:t>
            </w:r>
          </w:p>
        </w:tc>
        <w:tc>
          <w:tcPr>
            <w:tcW w:w="399" w:type="pct"/>
          </w:tcPr>
          <w:p w14:paraId="3C2931C3"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71F2A54" w14:textId="52250F10"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B61097" w:rsidRPr="00023F3C" w14:paraId="0804F422" w14:textId="77777777" w:rsidTr="009B30BC">
        <w:trPr>
          <w:trHeight w:val="605"/>
        </w:trPr>
        <w:tc>
          <w:tcPr>
            <w:tcW w:w="310" w:type="pct"/>
            <w:shd w:val="clear" w:color="auto" w:fill="auto"/>
            <w:vAlign w:val="center"/>
          </w:tcPr>
          <w:p w14:paraId="45BAA98A" w14:textId="1312E8B9" w:rsidR="00B61097" w:rsidRPr="00023F3C"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C56AC5">
              <w:rPr>
                <w:rFonts w:ascii="Garamond" w:eastAsia="Times New Roman" w:hAnsi="Garamond" w:cs="Times New Roman"/>
                <w:color w:val="000000"/>
                <w:lang w:eastAsia="it-IT"/>
              </w:rPr>
              <w:t>4</w:t>
            </w:r>
          </w:p>
        </w:tc>
        <w:tc>
          <w:tcPr>
            <w:tcW w:w="1464" w:type="pct"/>
            <w:shd w:val="clear" w:color="auto" w:fill="auto"/>
            <w:vAlign w:val="center"/>
          </w:tcPr>
          <w:p w14:paraId="2506DB97" w14:textId="5C542F1D" w:rsidR="00B61097" w:rsidRPr="00023F3C" w:rsidRDefault="00B61097" w:rsidP="00B61097">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w:t>
            </w:r>
            <w:r w:rsidR="006F4881">
              <w:rPr>
                <w:rFonts w:ascii="Garamond" w:eastAsia="Times New Roman" w:hAnsi="Garamond" w:cs="Times New Roman"/>
                <w:color w:val="000000"/>
                <w:lang w:eastAsia="it-IT"/>
              </w:rPr>
              <w:t>Appaltatore</w:t>
            </w:r>
            <w:r w:rsidRPr="00023F3C">
              <w:rPr>
                <w:rFonts w:ascii="Garamond" w:eastAsia="Times New Roman" w:hAnsi="Garamond" w:cs="Times New Roman"/>
                <w:color w:val="000000"/>
                <w:lang w:eastAsia="it-IT"/>
              </w:rPr>
              <w:t xml:space="preserve"> si assume gli obblighi di tracciabilità dei flussi finanziari dì cui alla legge 136/2010? </w:t>
            </w:r>
          </w:p>
        </w:tc>
        <w:tc>
          <w:tcPr>
            <w:tcW w:w="129" w:type="pct"/>
            <w:shd w:val="clear" w:color="auto" w:fill="auto"/>
            <w:vAlign w:val="center"/>
          </w:tcPr>
          <w:p w14:paraId="1322FC2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02F7AB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884B56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630C76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85D914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1105881"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C342890" w14:textId="73B7BA6E" w:rsidR="00B61097" w:rsidRPr="00023F3C"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Contratti di subappalto e/o altri subcont</w:t>
            </w:r>
            <w:r>
              <w:rPr>
                <w:rFonts w:ascii="Garamond" w:eastAsia="Times New Roman" w:hAnsi="Garamond" w:cs="Times New Roman"/>
                <w:lang w:eastAsia="it-IT"/>
              </w:rPr>
              <w:t>r</w:t>
            </w:r>
            <w:r w:rsidRPr="00BC215D">
              <w:rPr>
                <w:rFonts w:ascii="Garamond" w:eastAsia="Times New Roman" w:hAnsi="Garamond" w:cs="Times New Roman"/>
                <w:lang w:eastAsia="it-IT"/>
              </w:rPr>
              <w:t>atti</w:t>
            </w:r>
          </w:p>
        </w:tc>
      </w:tr>
      <w:tr w:rsidR="00B61097" w:rsidRPr="00023F3C" w14:paraId="78D43E92" w14:textId="77777777" w:rsidTr="00A45B2D">
        <w:trPr>
          <w:trHeight w:val="764"/>
        </w:trPr>
        <w:tc>
          <w:tcPr>
            <w:tcW w:w="310" w:type="pct"/>
            <w:shd w:val="clear" w:color="auto" w:fill="B4C6E7" w:themeFill="accent1" w:themeFillTint="66"/>
            <w:vAlign w:val="center"/>
          </w:tcPr>
          <w:p w14:paraId="41166B55" w14:textId="03B8C450" w:rsidR="00B61097" w:rsidRPr="00372ED6" w:rsidRDefault="00C56AC5" w:rsidP="00B61097">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K</w:t>
            </w:r>
          </w:p>
        </w:tc>
        <w:tc>
          <w:tcPr>
            <w:tcW w:w="4690" w:type="pct"/>
            <w:gridSpan w:val="8"/>
            <w:shd w:val="clear" w:color="auto" w:fill="B4C6E7" w:themeFill="accent1" w:themeFillTint="66"/>
            <w:vAlign w:val="center"/>
          </w:tcPr>
          <w:p w14:paraId="3BAD0CE3" w14:textId="030A655F" w:rsidR="00B61097" w:rsidRPr="00522B0F" w:rsidRDefault="00B61097" w:rsidP="00B61097">
            <w:pPr>
              <w:spacing w:after="0" w:line="240" w:lineRule="auto"/>
              <w:jc w:val="center"/>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Esecuzione e varianti</w:t>
            </w:r>
          </w:p>
        </w:tc>
      </w:tr>
      <w:tr w:rsidR="00B61097" w:rsidRPr="00023F3C" w14:paraId="69E62F1E" w14:textId="77777777" w:rsidTr="009B30BC">
        <w:trPr>
          <w:trHeight w:val="605"/>
        </w:trPr>
        <w:tc>
          <w:tcPr>
            <w:tcW w:w="310" w:type="pct"/>
            <w:shd w:val="clear" w:color="auto" w:fill="auto"/>
            <w:vAlign w:val="center"/>
          </w:tcPr>
          <w:p w14:paraId="22E63E6E" w14:textId="3D2C8411"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64" w:type="pct"/>
            <w:shd w:val="clear" w:color="auto" w:fill="auto"/>
            <w:vAlign w:val="center"/>
          </w:tcPr>
          <w:p w14:paraId="75F5B3EF" w14:textId="6FD366C0" w:rsidR="00B61097" w:rsidRPr="0027277C"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È stato nominato il Direttore dell’esecuzione?</w:t>
            </w:r>
          </w:p>
        </w:tc>
        <w:tc>
          <w:tcPr>
            <w:tcW w:w="129" w:type="pct"/>
            <w:shd w:val="clear" w:color="auto" w:fill="auto"/>
            <w:vAlign w:val="center"/>
          </w:tcPr>
          <w:p w14:paraId="6E04DDF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BC36C2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318C28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7EC5F6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1214FDD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4A5BBC09"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C497A50" w14:textId="1C19C724" w:rsidR="00B61097" w:rsidRPr="00522B0F"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Atto di nomina del Direttore dell’esecuzione</w:t>
            </w:r>
          </w:p>
        </w:tc>
      </w:tr>
      <w:tr w:rsidR="00B61097" w:rsidRPr="00023F3C" w14:paraId="2240FB0A" w14:textId="77777777" w:rsidTr="009B30BC">
        <w:trPr>
          <w:trHeight w:val="605"/>
        </w:trPr>
        <w:tc>
          <w:tcPr>
            <w:tcW w:w="310" w:type="pct"/>
            <w:shd w:val="clear" w:color="auto" w:fill="auto"/>
            <w:vAlign w:val="center"/>
          </w:tcPr>
          <w:p w14:paraId="193D6A91" w14:textId="16059557"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64" w:type="pct"/>
            <w:shd w:val="clear" w:color="auto" w:fill="auto"/>
            <w:vAlign w:val="center"/>
          </w:tcPr>
          <w:p w14:paraId="642DFE29" w14:textId="6F3EEF89" w:rsidR="00B61097" w:rsidRPr="0027277C"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xml:space="preserve">L’avvio delle prestazioni risulta da verbale redatto sottoscritto in contraddittorio con l’esecutore secondo i termini e nel rispetto di quanto previsto dall’art. 31 dell’Allegato II.14 al </w:t>
            </w:r>
            <w:r>
              <w:rPr>
                <w:rFonts w:ascii="Garamond" w:eastAsia="Times New Roman" w:hAnsi="Garamond" w:cs="Times New Roman"/>
                <w:lang w:eastAsia="it-IT"/>
              </w:rPr>
              <w:t>D. L</w:t>
            </w:r>
            <w:r w:rsidRPr="00045827">
              <w:rPr>
                <w:rFonts w:ascii="Garamond" w:eastAsia="Times New Roman" w:hAnsi="Garamond" w:cs="Times New Roman"/>
                <w:lang w:eastAsia="it-IT"/>
              </w:rPr>
              <w:t>gs. 36/2023?</w:t>
            </w:r>
          </w:p>
        </w:tc>
        <w:tc>
          <w:tcPr>
            <w:tcW w:w="129" w:type="pct"/>
            <w:shd w:val="clear" w:color="auto" w:fill="auto"/>
            <w:vAlign w:val="center"/>
          </w:tcPr>
          <w:p w14:paraId="537C61A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5BB400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B94FA4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D52618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C74CC9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7DA8904"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5C71A18" w14:textId="5C785F2B" w:rsidR="00B61097" w:rsidRPr="00522B0F"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Verbale di consegna</w:t>
            </w:r>
          </w:p>
        </w:tc>
      </w:tr>
      <w:tr w:rsidR="00B61097" w:rsidRPr="00023F3C" w14:paraId="7107D61E" w14:textId="77777777" w:rsidTr="009B30BC">
        <w:trPr>
          <w:trHeight w:val="605"/>
        </w:trPr>
        <w:tc>
          <w:tcPr>
            <w:tcW w:w="310" w:type="pct"/>
            <w:shd w:val="clear" w:color="auto" w:fill="auto"/>
            <w:vAlign w:val="center"/>
          </w:tcPr>
          <w:p w14:paraId="63046A56" w14:textId="6F884216"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64" w:type="pct"/>
            <w:shd w:val="clear" w:color="auto" w:fill="auto"/>
            <w:vAlign w:val="center"/>
          </w:tcPr>
          <w:p w14:paraId="595C352F" w14:textId="77777777" w:rsidR="00B61097" w:rsidRPr="00045827" w:rsidRDefault="00B61097" w:rsidP="00B61097">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L’eventuale esecuzione anticipata del contratto nei casi di urgenza è avvenuta:</w:t>
            </w:r>
          </w:p>
          <w:p w14:paraId="41713B31" w14:textId="2695452E" w:rsidR="00B61097" w:rsidRPr="00EF4106" w:rsidRDefault="00B61097" w:rsidP="00B61097">
            <w:pPr>
              <w:pStyle w:val="ListParagraph"/>
              <w:numPr>
                <w:ilvl w:val="0"/>
                <w:numId w:val="45"/>
              </w:numPr>
              <w:spacing w:after="0" w:line="240" w:lineRule="auto"/>
              <w:jc w:val="both"/>
              <w:rPr>
                <w:rFonts w:ascii="Garamond" w:eastAsia="Times New Roman" w:hAnsi="Garamond" w:cs="Times New Roman"/>
                <w:lang w:eastAsia="it-IT"/>
              </w:rPr>
            </w:pPr>
            <w:r w:rsidRPr="00EF4106">
              <w:rPr>
                <w:rFonts w:ascii="Garamond" w:eastAsia="Times New Roman" w:hAnsi="Garamond" w:cs="Times New Roman"/>
                <w:lang w:eastAsia="it-IT"/>
              </w:rPr>
              <w:t>nei modi e alle condizioni previste dall’art. 17, commi 8 e 9, del D. Lgs. 36/2023?</w:t>
            </w:r>
          </w:p>
          <w:p w14:paraId="3B7042FA" w14:textId="2FF8AEF4" w:rsidR="00B61097" w:rsidRPr="00EF4106" w:rsidRDefault="00B61097" w:rsidP="00B61097">
            <w:pPr>
              <w:pStyle w:val="ListParagraph"/>
              <w:numPr>
                <w:ilvl w:val="0"/>
                <w:numId w:val="45"/>
              </w:numPr>
              <w:spacing w:after="0" w:line="240" w:lineRule="auto"/>
              <w:jc w:val="both"/>
              <w:rPr>
                <w:rFonts w:ascii="Garamond" w:eastAsia="Times New Roman" w:hAnsi="Garamond" w:cs="Times New Roman"/>
                <w:color w:val="000000"/>
                <w:lang w:eastAsia="it-IT"/>
              </w:rPr>
            </w:pPr>
            <w:r w:rsidRPr="00EF4106">
              <w:rPr>
                <w:rFonts w:ascii="Garamond" w:eastAsia="Times New Roman" w:hAnsi="Garamond" w:cs="Times New Roman"/>
                <w:lang w:eastAsia="it-IT"/>
              </w:rPr>
              <w:t>b) dopo la verifica dei requisiti dell’operatore economico?</w:t>
            </w:r>
          </w:p>
        </w:tc>
        <w:tc>
          <w:tcPr>
            <w:tcW w:w="129" w:type="pct"/>
            <w:shd w:val="clear" w:color="auto" w:fill="auto"/>
            <w:vAlign w:val="center"/>
          </w:tcPr>
          <w:p w14:paraId="5CC6539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F8117A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676298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E25010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3CA55E9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2F2A4954"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044BF522" w14:textId="725C8C8C" w:rsidR="00B61097" w:rsidRPr="00522B0F"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Verbale di consegna in via d’urgenza</w:t>
            </w:r>
          </w:p>
        </w:tc>
      </w:tr>
      <w:tr w:rsidR="00B61097" w:rsidRPr="00023F3C" w14:paraId="255C67BF" w14:textId="77777777" w:rsidTr="009B30BC">
        <w:trPr>
          <w:trHeight w:val="605"/>
        </w:trPr>
        <w:tc>
          <w:tcPr>
            <w:tcW w:w="310" w:type="pct"/>
            <w:shd w:val="clear" w:color="auto" w:fill="auto"/>
            <w:vAlign w:val="center"/>
          </w:tcPr>
          <w:p w14:paraId="01716CA4" w14:textId="40DF9F57"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64" w:type="pct"/>
            <w:shd w:val="clear" w:color="auto" w:fill="auto"/>
            <w:vAlign w:val="center"/>
          </w:tcPr>
          <w:p w14:paraId="77617DF5" w14:textId="1869D8FF" w:rsidR="00B61097" w:rsidRPr="00023F3C" w:rsidRDefault="00B61097" w:rsidP="00B61097">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del contratto?</w:t>
            </w:r>
          </w:p>
        </w:tc>
        <w:tc>
          <w:tcPr>
            <w:tcW w:w="129" w:type="pct"/>
            <w:shd w:val="clear" w:color="auto" w:fill="auto"/>
            <w:vAlign w:val="center"/>
          </w:tcPr>
          <w:p w14:paraId="722A0A8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1E3B3D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777193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F104D1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F69747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3165D806"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BA50924" w14:textId="33ADE639"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61097" w:rsidRPr="00023F3C" w14:paraId="1E22F3AC" w14:textId="77777777" w:rsidTr="009B30BC">
        <w:trPr>
          <w:trHeight w:val="605"/>
        </w:trPr>
        <w:tc>
          <w:tcPr>
            <w:tcW w:w="310" w:type="pct"/>
            <w:shd w:val="clear" w:color="auto" w:fill="auto"/>
            <w:vAlign w:val="center"/>
          </w:tcPr>
          <w:p w14:paraId="6504D0AB" w14:textId="62C6B651"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64" w:type="pct"/>
            <w:shd w:val="clear" w:color="auto" w:fill="auto"/>
            <w:vAlign w:val="center"/>
          </w:tcPr>
          <w:p w14:paraId="04C61880" w14:textId="4B58F874" w:rsidR="00B61097" w:rsidRPr="00023F3C" w:rsidRDefault="00B61097" w:rsidP="00B61097">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w:t>
            </w:r>
            <w:r>
              <w:rPr>
                <w:rFonts w:ascii="Garamond" w:eastAsia="Times New Roman" w:hAnsi="Garamond" w:cs="Times New Roman"/>
                <w:color w:val="000000"/>
                <w:lang w:eastAsia="it-IT"/>
              </w:rPr>
              <w:t>Stazione Appaltante</w:t>
            </w:r>
            <w:r w:rsidRPr="006F7423">
              <w:rPr>
                <w:rFonts w:ascii="Garamond" w:eastAsia="Times New Roman" w:hAnsi="Garamond" w:cs="Times New Roman"/>
                <w:color w:val="000000"/>
                <w:lang w:eastAsia="it-IT"/>
              </w:rPr>
              <w:t xml:space="preserve"> cui il RUP dipende, ai sensi dell’art. </w:t>
            </w:r>
            <w:r>
              <w:rPr>
                <w:rFonts w:ascii="Garamond" w:eastAsia="Times New Roman" w:hAnsi="Garamond" w:cs="Times New Roman"/>
                <w:color w:val="000000"/>
                <w:lang w:eastAsia="it-IT"/>
              </w:rPr>
              <w:t>120 del D. Lgs. 36/2023</w:t>
            </w:r>
            <w:r w:rsidRPr="006F7423">
              <w:rPr>
                <w:rFonts w:ascii="Garamond" w:eastAsia="Times New Roman" w:hAnsi="Garamond" w:cs="Times New Roman"/>
                <w:color w:val="000000"/>
                <w:lang w:eastAsia="it-IT"/>
              </w:rPr>
              <w:t>?</w:t>
            </w:r>
          </w:p>
        </w:tc>
        <w:tc>
          <w:tcPr>
            <w:tcW w:w="129" w:type="pct"/>
            <w:shd w:val="clear" w:color="auto" w:fill="auto"/>
            <w:vAlign w:val="center"/>
          </w:tcPr>
          <w:p w14:paraId="3EA69AF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8933BD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36A64B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3A7A01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0B68998" w14:textId="251B6329" w:rsidR="00B61097" w:rsidRPr="00EF4106" w:rsidRDefault="00B61097" w:rsidP="00B61097">
            <w:pPr>
              <w:spacing w:after="0" w:line="240" w:lineRule="auto"/>
              <w:jc w:val="both"/>
              <w:rPr>
                <w:rFonts w:ascii="Garamond" w:eastAsia="Times New Roman" w:hAnsi="Garamond" w:cs="Times New Roman"/>
                <w:color w:val="2F5496" w:themeColor="accent1" w:themeShade="BF"/>
                <w:lang w:eastAsia="it-IT"/>
              </w:rPr>
            </w:pPr>
          </w:p>
        </w:tc>
        <w:tc>
          <w:tcPr>
            <w:tcW w:w="399" w:type="pct"/>
          </w:tcPr>
          <w:p w14:paraId="063BD660"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05C97F3D" w14:textId="22C5E622"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61097" w:rsidRPr="00023F3C" w14:paraId="75D178F5" w14:textId="77777777" w:rsidTr="009B30BC">
        <w:trPr>
          <w:trHeight w:val="605"/>
        </w:trPr>
        <w:tc>
          <w:tcPr>
            <w:tcW w:w="310" w:type="pct"/>
            <w:shd w:val="clear" w:color="auto" w:fill="auto"/>
            <w:vAlign w:val="center"/>
          </w:tcPr>
          <w:p w14:paraId="3DEABCEA" w14:textId="73B29AA5"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64" w:type="pct"/>
            <w:shd w:val="clear" w:color="auto" w:fill="auto"/>
            <w:vAlign w:val="center"/>
          </w:tcPr>
          <w:p w14:paraId="715E3605" w14:textId="2CA1156D" w:rsidR="00B61097" w:rsidRPr="00023F3C"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 commi 1, 3 e 5 del D. Lgs. 36/2023</w:t>
            </w:r>
            <w:r w:rsidRPr="00177AE1">
              <w:rPr>
                <w:rFonts w:ascii="Garamond" w:eastAsia="Times New Roman" w:hAnsi="Garamond" w:cs="Times New Roman"/>
                <w:color w:val="000000"/>
                <w:lang w:eastAsia="it-IT"/>
              </w:rPr>
              <w:t>?</w:t>
            </w:r>
          </w:p>
        </w:tc>
        <w:tc>
          <w:tcPr>
            <w:tcW w:w="129" w:type="pct"/>
            <w:shd w:val="clear" w:color="auto" w:fill="auto"/>
            <w:vAlign w:val="center"/>
          </w:tcPr>
          <w:p w14:paraId="464B55E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32C458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474437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B4D8DB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3012ED4"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Ai sensi del Codice, quale modificato dal Decreto correttivo 209/2024, per </w:t>
            </w:r>
            <w:r w:rsidRPr="00086F65">
              <w:rPr>
                <w:rFonts w:ascii="Garamond" w:eastAsia="Times New Roman" w:hAnsi="Garamond" w:cs="Times New Roman"/>
                <w:color w:val="2F5496" w:themeColor="accent1" w:themeShade="BF"/>
                <w:lang w:eastAsia="it-IT"/>
              </w:rPr>
              <w:lastRenderedPageBreak/>
              <w:t xml:space="preserve">varianti in corso d'opera si intendono le modifiche resesi necessarie in corso di esecuzione dell'appalto per effetto delle seguenti circostanze imprevedibili da parte della Stazione Appaltante, fatti salvi gli ulteriori casi previsti nella legislazione di settore: 1) le esigenze derivanti da nuove disposizioni legislative o regolamentari o da provvedimenti </w:t>
            </w:r>
          </w:p>
          <w:p w14:paraId="3F6E53CE"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w:t>
            </w:r>
            <w:r w:rsidRPr="00086F65">
              <w:rPr>
                <w:rFonts w:ascii="Garamond" w:eastAsia="Times New Roman" w:hAnsi="Garamond" w:cs="Times New Roman"/>
                <w:color w:val="2F5496" w:themeColor="accent1" w:themeShade="BF"/>
                <w:lang w:eastAsia="it-IT"/>
              </w:rPr>
              <w:lastRenderedPageBreak/>
              <w:t xml:space="preserve">imprevedibili e i casi di forza maggiore che incidono sui </w:t>
            </w:r>
          </w:p>
          <w:p w14:paraId="0691E90B"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beni oggetto dell'intervento; </w:t>
            </w:r>
          </w:p>
          <w:p w14:paraId="26A6115B"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4BF4990A"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progettazione; </w:t>
            </w:r>
          </w:p>
          <w:p w14:paraId="019FEB54"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6F13AF0F"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49418821" w14:textId="387A0654" w:rsidR="00B61097" w:rsidRPr="00086F65" w:rsidRDefault="00086F65" w:rsidP="00B61097">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della progettazione.</w:t>
            </w:r>
          </w:p>
        </w:tc>
        <w:tc>
          <w:tcPr>
            <w:tcW w:w="399" w:type="pct"/>
          </w:tcPr>
          <w:p w14:paraId="1A04AA0B"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210491B" w14:textId="4379281D"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408A7DDB" w14:textId="77777777" w:rsidTr="009B30BC">
        <w:trPr>
          <w:trHeight w:val="605"/>
        </w:trPr>
        <w:tc>
          <w:tcPr>
            <w:tcW w:w="310" w:type="pct"/>
            <w:shd w:val="clear" w:color="auto" w:fill="auto"/>
            <w:vAlign w:val="center"/>
          </w:tcPr>
          <w:p w14:paraId="001A3B6E" w14:textId="280E1342"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464" w:type="pct"/>
            <w:shd w:val="clear" w:color="auto" w:fill="auto"/>
            <w:vAlign w:val="center"/>
          </w:tcPr>
          <w:p w14:paraId="09669825" w14:textId="3068B27F" w:rsidR="00B61097" w:rsidRPr="00023F3C" w:rsidRDefault="00B61097" w:rsidP="00B61097">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525879">
              <w:rPr>
                <w:rFonts w:ascii="Garamond" w:eastAsia="Times New Roman" w:hAnsi="Garamond" w:cs="Times New Roman"/>
                <w:color w:val="000000"/>
                <w:lang w:eastAsia="it-IT"/>
              </w:rPr>
              <w:t xml:space="preserve"> lett. a)</w:t>
            </w:r>
            <w:r>
              <w:rPr>
                <w:rFonts w:ascii="Garamond" w:eastAsia="Times New Roman" w:hAnsi="Garamond" w:cs="Times New Roman"/>
                <w:color w:val="000000"/>
                <w:lang w:eastAsia="it-IT"/>
              </w:rPr>
              <w:t xml:space="preserve">, del </w:t>
            </w:r>
            <w:r w:rsidRPr="00525879">
              <w:rPr>
                <w:rFonts w:ascii="Garamond" w:eastAsia="Times New Roman" w:hAnsi="Garamond" w:cs="Times New Roman"/>
                <w:color w:val="000000"/>
                <w:lang w:eastAsia="it-IT"/>
              </w:rPr>
              <w:t>D</w:t>
            </w:r>
            <w:r>
              <w:rPr>
                <w:rFonts w:ascii="Garamond" w:eastAsia="Times New Roman" w:hAnsi="Garamond" w:cs="Times New Roman"/>
                <w:color w:val="000000"/>
                <w:lang w:eastAsia="it-IT"/>
              </w:rPr>
              <w:t>. 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w:t>
            </w:r>
            <w:r w:rsidRPr="00525879">
              <w:rPr>
                <w:rFonts w:ascii="Garamond" w:eastAsia="Times New Roman" w:hAnsi="Garamond" w:cs="Times New Roman"/>
                <w:color w:val="000000"/>
                <w:lang w:eastAsia="it-IT"/>
              </w:rPr>
              <w:lastRenderedPageBreak/>
              <w:t>quanto fissato all'interno delle “clausole chiare, precise e inequivocabili</w:t>
            </w:r>
            <w:r>
              <w:rPr>
                <w:rFonts w:ascii="Garamond" w:eastAsia="Times New Roman" w:hAnsi="Garamond" w:cs="Times New Roman"/>
                <w:color w:val="000000"/>
                <w:lang w:eastAsia="it-IT"/>
              </w:rPr>
              <w:t>”?</w:t>
            </w:r>
          </w:p>
        </w:tc>
        <w:tc>
          <w:tcPr>
            <w:tcW w:w="129" w:type="pct"/>
            <w:shd w:val="clear" w:color="auto" w:fill="auto"/>
            <w:vAlign w:val="center"/>
          </w:tcPr>
          <w:p w14:paraId="3FE78B3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0D4F26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4630DE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71996F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BC123D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1C35B0A2"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B8821EE" w14:textId="58039345"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3AE1F738" w14:textId="77777777" w:rsidTr="009B30BC">
        <w:trPr>
          <w:trHeight w:val="605"/>
        </w:trPr>
        <w:tc>
          <w:tcPr>
            <w:tcW w:w="310" w:type="pct"/>
            <w:shd w:val="clear" w:color="auto" w:fill="auto"/>
            <w:vAlign w:val="center"/>
          </w:tcPr>
          <w:p w14:paraId="1C0AFE99" w14:textId="563D5B59"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64" w:type="pct"/>
            <w:shd w:val="clear" w:color="auto" w:fill="auto"/>
            <w:vAlign w:val="center"/>
          </w:tcPr>
          <w:p w14:paraId="6CD5E45C" w14:textId="15773FAF" w:rsidR="00B61097" w:rsidRPr="00023F3C" w:rsidRDefault="00B61097" w:rsidP="00B61097">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 del</w:t>
            </w:r>
            <w:r w:rsidRPr="00F271A7">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 xml:space="preserve"> 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29" w:type="pct"/>
            <w:shd w:val="clear" w:color="auto" w:fill="auto"/>
            <w:vAlign w:val="center"/>
          </w:tcPr>
          <w:p w14:paraId="64A680C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2A726B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185EF5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A3B857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87B19A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4894ADF"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59471E3" w14:textId="167DD60C"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032F3627" w14:textId="77777777" w:rsidTr="009B30BC">
        <w:trPr>
          <w:trHeight w:val="605"/>
        </w:trPr>
        <w:tc>
          <w:tcPr>
            <w:tcW w:w="310" w:type="pct"/>
            <w:shd w:val="clear" w:color="auto" w:fill="auto"/>
            <w:vAlign w:val="center"/>
          </w:tcPr>
          <w:p w14:paraId="09D5EC73" w14:textId="3EAAA5CD"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64" w:type="pct"/>
            <w:shd w:val="clear" w:color="auto" w:fill="auto"/>
            <w:vAlign w:val="center"/>
          </w:tcPr>
          <w:p w14:paraId="6EDCA7BB" w14:textId="1FCFAB0F" w:rsidR="00B61097" w:rsidRPr="00023F3C" w:rsidRDefault="00B61097" w:rsidP="00B61097">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Pr="00110224">
              <w:rPr>
                <w:rFonts w:ascii="Garamond" w:eastAsia="Times New Roman" w:hAnsi="Garamond" w:cs="Times New Roman"/>
                <w:color w:val="000000"/>
                <w:lang w:eastAsia="it-IT"/>
              </w:rPr>
              <w:t>D.</w:t>
            </w:r>
            <w:r>
              <w:rPr>
                <w:rFonts w:ascii="Garamond" w:eastAsia="Times New Roman" w:hAnsi="Garamond" w:cs="Times New Roman"/>
                <w:color w:val="000000"/>
                <w:lang w:eastAsia="it-IT"/>
              </w:rPr>
              <w:t xml:space="preserve"> 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tc>
        <w:tc>
          <w:tcPr>
            <w:tcW w:w="129" w:type="pct"/>
            <w:shd w:val="clear" w:color="auto" w:fill="auto"/>
            <w:vAlign w:val="center"/>
          </w:tcPr>
          <w:p w14:paraId="221B945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7178F2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DDA823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2C2255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9BE763E"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imprevedibili da parte della Stazione Appaltante, fatti salvi </w:t>
            </w:r>
            <w:r w:rsidRPr="00086F65">
              <w:rPr>
                <w:rFonts w:ascii="Garamond" w:eastAsia="Times New Roman" w:hAnsi="Garamond" w:cs="Times New Roman"/>
                <w:color w:val="2F5496" w:themeColor="accent1" w:themeShade="BF"/>
                <w:lang w:eastAsia="it-IT"/>
              </w:rPr>
              <w:lastRenderedPageBreak/>
              <w:t xml:space="preserve">gli ulteriori casi previsti nella legislazione di settore: 1) le esigenze derivanti da nuove disposizioni legislative o regolamentari o da provvedimenti </w:t>
            </w:r>
          </w:p>
          <w:p w14:paraId="2ACB08CF"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4A1DB056"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beni oggetto dell'intervento; </w:t>
            </w:r>
          </w:p>
          <w:p w14:paraId="7002A37D"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3046E0DB"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progettazione; </w:t>
            </w:r>
          </w:p>
          <w:p w14:paraId="2A2D0182"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lastRenderedPageBreak/>
              <w:t xml:space="preserve">4) le difficoltà di esecuzione derivanti da cause geologiche, idriche e simili, non </w:t>
            </w:r>
          </w:p>
          <w:p w14:paraId="1B9FAACD" w14:textId="77777777" w:rsidR="00086F65" w:rsidRPr="00086F65" w:rsidRDefault="00086F65" w:rsidP="00086F65">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2D1E43DB" w14:textId="41CD2BC1" w:rsidR="00B61097" w:rsidRPr="00086F65" w:rsidRDefault="00086F65" w:rsidP="00B61097">
            <w:pPr>
              <w:spacing w:after="0" w:line="240" w:lineRule="auto"/>
              <w:jc w:val="both"/>
              <w:rPr>
                <w:rFonts w:ascii="Garamond" w:eastAsia="Times New Roman" w:hAnsi="Garamond" w:cs="Times New Roman"/>
                <w:color w:val="2F5496" w:themeColor="accent1" w:themeShade="BF"/>
                <w:lang w:eastAsia="it-IT"/>
              </w:rPr>
            </w:pPr>
            <w:r w:rsidRPr="00086F65">
              <w:rPr>
                <w:rFonts w:ascii="Garamond" w:eastAsia="Times New Roman" w:hAnsi="Garamond" w:cs="Times New Roman"/>
                <w:color w:val="2F5496" w:themeColor="accent1" w:themeShade="BF"/>
                <w:lang w:eastAsia="it-IT"/>
              </w:rPr>
              <w:t>della progettazione.</w:t>
            </w:r>
          </w:p>
        </w:tc>
        <w:tc>
          <w:tcPr>
            <w:tcW w:w="399" w:type="pct"/>
          </w:tcPr>
          <w:p w14:paraId="335346C4"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7D1E0192" w14:textId="126B2410"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B61097" w:rsidRPr="00023F3C" w14:paraId="30FEF733" w14:textId="77777777" w:rsidTr="009B30BC">
        <w:trPr>
          <w:trHeight w:val="605"/>
        </w:trPr>
        <w:tc>
          <w:tcPr>
            <w:tcW w:w="310" w:type="pct"/>
            <w:shd w:val="clear" w:color="auto" w:fill="auto"/>
            <w:vAlign w:val="center"/>
          </w:tcPr>
          <w:p w14:paraId="453D303D" w14:textId="24852C2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464" w:type="pct"/>
            <w:shd w:val="clear" w:color="auto" w:fill="auto"/>
            <w:vAlign w:val="center"/>
          </w:tcPr>
          <w:p w14:paraId="2D94FDF7" w14:textId="0E6CD4E6" w:rsidR="00B61097" w:rsidRPr="00023F3C" w:rsidRDefault="00B61097" w:rsidP="00B61097">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Pr="00147D3C">
              <w:rPr>
                <w:rFonts w:ascii="Garamond" w:eastAsia="Times New Roman" w:hAnsi="Garamond" w:cs="Times New Roman"/>
                <w:color w:val="000000"/>
                <w:lang w:eastAsia="it-IT"/>
              </w:rPr>
              <w:t>D.</w:t>
            </w:r>
            <w:r>
              <w:rPr>
                <w:rFonts w:ascii="Garamond" w:eastAsia="Times New Roman" w:hAnsi="Garamond" w:cs="Times New Roman"/>
                <w:color w:val="000000"/>
                <w:lang w:eastAsia="it-IT"/>
              </w:rPr>
              <w:t xml:space="preserve"> </w:t>
            </w:r>
            <w:r w:rsidRPr="00147D3C">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“a causa di una delle seguenti circostanze...1)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w:t>
            </w:r>
            <w:r>
              <w:rPr>
                <w:rFonts w:ascii="Garamond" w:eastAsia="Times New Roman" w:hAnsi="Garamond" w:cs="Times New Roman"/>
                <w:color w:val="000000"/>
                <w:lang w:eastAsia="it-IT"/>
              </w:rPr>
              <w:lastRenderedPageBreak/>
              <w:t>Appaltante</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29" w:type="pct"/>
            <w:shd w:val="clear" w:color="auto" w:fill="auto"/>
            <w:vAlign w:val="center"/>
          </w:tcPr>
          <w:p w14:paraId="47DFB64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C61DCC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15F7D3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754307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3D39AD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A531793"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7E756EF" w14:textId="7F8772FC"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0AE659BB" w14:textId="77777777" w:rsidTr="009B30BC">
        <w:trPr>
          <w:trHeight w:val="605"/>
        </w:trPr>
        <w:tc>
          <w:tcPr>
            <w:tcW w:w="310" w:type="pct"/>
            <w:shd w:val="clear" w:color="auto" w:fill="auto"/>
            <w:vAlign w:val="center"/>
          </w:tcPr>
          <w:p w14:paraId="405E3A57" w14:textId="7890BCF0"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64" w:type="pct"/>
            <w:shd w:val="clear" w:color="auto" w:fill="auto"/>
            <w:vAlign w:val="center"/>
          </w:tcPr>
          <w:p w14:paraId="79F0FB23" w14:textId="35212A94" w:rsidR="00B61097" w:rsidRPr="00172C2C" w:rsidRDefault="00B61097" w:rsidP="00B61097">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Nei casi di cui al comma 1, lettere b) e c)</w:t>
            </w:r>
            <w:r>
              <w:rPr>
                <w:rFonts w:ascii="Garamond" w:eastAsia="Times New Roman" w:hAnsi="Garamond" w:cs="Times New Roman"/>
                <w:color w:val="000000"/>
                <w:lang w:eastAsia="it-IT"/>
              </w:rPr>
              <w:t>, dell’</w:t>
            </w:r>
            <w:r w:rsidRPr="00772DE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 del</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 del</w:t>
            </w:r>
            <w:r w:rsidRPr="00772DE4">
              <w:rPr>
                <w:rFonts w:ascii="Garamond" w:eastAsia="Times New Roman" w:hAnsi="Garamond" w:cs="Times New Roman"/>
                <w:color w:val="000000"/>
                <w:lang w:eastAsia="it-IT"/>
              </w:rPr>
              <w:t xml:space="preserve"> D.</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29" w:type="pct"/>
            <w:shd w:val="clear" w:color="auto" w:fill="auto"/>
            <w:vAlign w:val="center"/>
          </w:tcPr>
          <w:p w14:paraId="2CDF5E4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02FDD3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746A5F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C5A5299"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01F64D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6F8336D"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F6C5ADB" w14:textId="58D4CE39"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768D953C" w14:textId="77777777" w:rsidTr="009B30BC">
        <w:trPr>
          <w:trHeight w:val="605"/>
        </w:trPr>
        <w:tc>
          <w:tcPr>
            <w:tcW w:w="310" w:type="pct"/>
            <w:shd w:val="clear" w:color="auto" w:fill="auto"/>
            <w:vAlign w:val="center"/>
          </w:tcPr>
          <w:p w14:paraId="420D1873" w14:textId="0527C9FF"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464" w:type="pct"/>
            <w:shd w:val="clear" w:color="auto" w:fill="auto"/>
            <w:vAlign w:val="center"/>
          </w:tcPr>
          <w:p w14:paraId="0B6FD27E" w14:textId="6E5E1829" w:rsidR="00B61097" w:rsidRPr="00172C2C" w:rsidRDefault="00B61097" w:rsidP="00B61097">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E6152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6152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 un avviso nella Gazzetta ufficiale dell’Unione Europea nell’ipotesi di appalto sopra- soglia comunitaria?</w:t>
            </w:r>
          </w:p>
        </w:tc>
        <w:tc>
          <w:tcPr>
            <w:tcW w:w="129" w:type="pct"/>
            <w:shd w:val="clear" w:color="auto" w:fill="auto"/>
            <w:vAlign w:val="center"/>
          </w:tcPr>
          <w:p w14:paraId="5BEACFA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A2D86D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F9A0CDE"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3EC6DA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038553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0A0ECD5" w14:textId="77777777" w:rsidR="00B61097"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EF3C713" w14:textId="77777777" w:rsidR="00B61097" w:rsidRDefault="00B61097" w:rsidP="00B61097">
            <w:pPr>
              <w:spacing w:after="0" w:line="240" w:lineRule="auto"/>
              <w:jc w:val="both"/>
              <w:rPr>
                <w:rFonts w:ascii="Garamond" w:eastAsia="Times New Roman" w:hAnsi="Garamond" w:cs="Times New Roman"/>
                <w:color w:val="000000"/>
                <w:lang w:eastAsia="it-IT"/>
              </w:rPr>
            </w:pPr>
          </w:p>
          <w:p w14:paraId="1C2946CB" w14:textId="7928FFC3"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B61097" w:rsidRPr="00023F3C" w14:paraId="00495D88" w14:textId="77777777" w:rsidTr="009B30BC">
        <w:trPr>
          <w:trHeight w:val="605"/>
        </w:trPr>
        <w:tc>
          <w:tcPr>
            <w:tcW w:w="310" w:type="pct"/>
            <w:shd w:val="clear" w:color="auto" w:fill="auto"/>
            <w:vAlign w:val="center"/>
          </w:tcPr>
          <w:p w14:paraId="30A3278B" w14:textId="62F17C7B"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464" w:type="pct"/>
            <w:shd w:val="clear" w:color="auto" w:fill="auto"/>
            <w:vAlign w:val="center"/>
          </w:tcPr>
          <w:p w14:paraId="2CD6F79C" w14:textId="1AD236A0" w:rsidR="00B61097" w:rsidRPr="00172C2C" w:rsidRDefault="00B61097" w:rsidP="00B61097">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 comma 5, del</w:t>
            </w:r>
            <w:r w:rsidRPr="00E3669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E36696">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36696">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 del medesimo art. 120?</w:t>
            </w:r>
          </w:p>
        </w:tc>
        <w:tc>
          <w:tcPr>
            <w:tcW w:w="129" w:type="pct"/>
            <w:shd w:val="clear" w:color="auto" w:fill="auto"/>
            <w:vAlign w:val="center"/>
          </w:tcPr>
          <w:p w14:paraId="4DE5D5F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54E4AB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794E3C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5F279C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DE9C693"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N.B. Dal 31 dicembre 2024, ai sensi del Decreto correttivo (D. Lgs. 209/2024), è stata fornita una specifica delle modifiche non sostanziali alla luce del quale “Non sono considerate sostanziali, fermi restando i limiti </w:t>
            </w:r>
            <w:r w:rsidRPr="00A970A6">
              <w:rPr>
                <w:rFonts w:ascii="Garamond" w:eastAsia="Times New Roman" w:hAnsi="Garamond" w:cs="Times New Roman"/>
                <w:color w:val="2F5496" w:themeColor="accent1" w:themeShade="BF"/>
                <w:lang w:eastAsia="it-IT"/>
              </w:rPr>
              <w:lastRenderedPageBreak/>
              <w:t xml:space="preserve">derivanti dalle somme a </w:t>
            </w:r>
          </w:p>
          <w:p w14:paraId="5C73A847"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disposizione del quadro economico e dalle previsioni di cui alle lettere a) b) e c) del comma </w:t>
            </w:r>
          </w:p>
          <w:p w14:paraId="5C0B9271"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6, le modifiche al progetto o le modifiche contrattuali proposte dalla stazione appaltante </w:t>
            </w:r>
          </w:p>
          <w:p w14:paraId="42FDF369"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ovvero dall'appaltatore con le quali, nel rispetto della funzionalità dell'opera: </w:t>
            </w:r>
          </w:p>
          <w:p w14:paraId="236FCE60"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a) si assicurino risparmi, rispetto alle previsioni iniziali, da utilizzare in compensazione </w:t>
            </w:r>
          </w:p>
          <w:p w14:paraId="134CFA71"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per far fronte alle variazioni in aumento </w:t>
            </w:r>
            <w:r w:rsidRPr="00A970A6">
              <w:rPr>
                <w:rFonts w:ascii="Garamond" w:eastAsia="Times New Roman" w:hAnsi="Garamond" w:cs="Times New Roman"/>
                <w:color w:val="2F5496" w:themeColor="accent1" w:themeShade="BF"/>
                <w:lang w:eastAsia="it-IT"/>
              </w:rPr>
              <w:lastRenderedPageBreak/>
              <w:t xml:space="preserve">dei costi delle lavorazioni; </w:t>
            </w:r>
          </w:p>
          <w:p w14:paraId="0B30720F"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b) si realizzino soluzioni equivalenti o migliorative in termini economici, tecnici o di </w:t>
            </w:r>
          </w:p>
          <w:p w14:paraId="5C9454FB"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tempi di ultimazione dell'opera, ivi compresa la sopravvenuta possibilità di utilizzo di </w:t>
            </w:r>
          </w:p>
          <w:p w14:paraId="418D0F7A"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materiali, componenti o tecnologie non esistenti al momento della progettazione che possono </w:t>
            </w:r>
          </w:p>
          <w:p w14:paraId="5B97A38B"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determinare, senza incremento dei costi, significativi miglioramenti nella qualità dell'opera o </w:t>
            </w:r>
          </w:p>
          <w:p w14:paraId="6369FEBC"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lastRenderedPageBreak/>
              <w:t xml:space="preserve">di parte di essa, o riduzione dei tempi di ultimazione; </w:t>
            </w:r>
          </w:p>
          <w:p w14:paraId="745E5A12"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c) gli interventi imposti dal direttore dei lavori per la soluzione di questioni tecniche </w:t>
            </w:r>
          </w:p>
          <w:p w14:paraId="62B25455" w14:textId="77777777" w:rsidR="00A970A6" w:rsidRPr="00A970A6" w:rsidRDefault="00A970A6" w:rsidP="00A970A6">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 xml:space="preserve">emerse nell'esecuzione dei lavori che possano essere finanziali con le risorse iscritte nel </w:t>
            </w:r>
          </w:p>
          <w:p w14:paraId="1237454E" w14:textId="093D6CB7" w:rsidR="00B61097" w:rsidRPr="00A970A6" w:rsidRDefault="00A970A6" w:rsidP="00B61097">
            <w:pPr>
              <w:spacing w:after="0" w:line="240" w:lineRule="auto"/>
              <w:jc w:val="both"/>
              <w:rPr>
                <w:rFonts w:ascii="Garamond" w:eastAsia="Times New Roman" w:hAnsi="Garamond" w:cs="Times New Roman"/>
                <w:color w:val="2F5496" w:themeColor="accent1" w:themeShade="BF"/>
                <w:lang w:eastAsia="it-IT"/>
              </w:rPr>
            </w:pPr>
            <w:r w:rsidRPr="00A970A6">
              <w:rPr>
                <w:rFonts w:ascii="Garamond" w:eastAsia="Times New Roman" w:hAnsi="Garamond" w:cs="Times New Roman"/>
                <w:color w:val="2F5496" w:themeColor="accent1" w:themeShade="BF"/>
                <w:lang w:eastAsia="it-IT"/>
              </w:rPr>
              <w:t>quadro economico dell'opera”.</w:t>
            </w:r>
          </w:p>
        </w:tc>
        <w:tc>
          <w:tcPr>
            <w:tcW w:w="399" w:type="pct"/>
          </w:tcPr>
          <w:p w14:paraId="6A1156C3"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6B17104" w14:textId="742BE352"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6929630D" w14:textId="77777777" w:rsidTr="009B30BC">
        <w:trPr>
          <w:trHeight w:val="605"/>
        </w:trPr>
        <w:tc>
          <w:tcPr>
            <w:tcW w:w="310" w:type="pct"/>
            <w:shd w:val="clear" w:color="auto" w:fill="auto"/>
            <w:vAlign w:val="center"/>
          </w:tcPr>
          <w:p w14:paraId="1995CAEE" w14:textId="56B637D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14</w:t>
            </w:r>
          </w:p>
        </w:tc>
        <w:tc>
          <w:tcPr>
            <w:tcW w:w="1464" w:type="pct"/>
            <w:shd w:val="clear" w:color="auto" w:fill="auto"/>
            <w:vAlign w:val="center"/>
          </w:tcPr>
          <w:p w14:paraId="78C9D907" w14:textId="77777777" w:rsidR="00B61097" w:rsidRPr="00833B0A" w:rsidRDefault="00B61097" w:rsidP="00B61097">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w:t>
            </w:r>
            <w:r>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833B0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xml:space="preserve">, l’Amministrazione ha dato evidenza nell'istruttoria e nei provvedimenti adottati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7297CD5D" w14:textId="3309736E" w:rsidR="00B61097" w:rsidRPr="00041ADA" w:rsidRDefault="00B61097" w:rsidP="00B61097">
            <w:pPr>
              <w:pStyle w:val="ListParagraph"/>
              <w:numPr>
                <w:ilvl w:val="0"/>
                <w:numId w:val="47"/>
              </w:numPr>
              <w:spacing w:after="0" w:line="240" w:lineRule="auto"/>
              <w:jc w:val="both"/>
              <w:rPr>
                <w:rFonts w:ascii="Garamond" w:eastAsia="Times New Roman" w:hAnsi="Garamond" w:cs="Times New Roman"/>
                <w:color w:val="000000"/>
                <w:lang w:eastAsia="it-IT"/>
              </w:rPr>
            </w:pPr>
            <w:r w:rsidRPr="00041ADA">
              <w:rPr>
                <w:rFonts w:ascii="Garamond" w:eastAsia="Times New Roman" w:hAnsi="Garamond" w:cs="Times New Roman"/>
                <w:color w:val="000000"/>
                <w:lang w:eastAsia="it-IT"/>
              </w:rPr>
              <w:t>le soglie fissate all'articolo 14 del D. Lgs. 36/2023;</w:t>
            </w:r>
          </w:p>
          <w:p w14:paraId="2296B97F" w14:textId="44AE514F" w:rsidR="00B61097" w:rsidRPr="00041ADA" w:rsidRDefault="00B61097" w:rsidP="00B61097">
            <w:pPr>
              <w:pStyle w:val="ListParagraph"/>
              <w:numPr>
                <w:ilvl w:val="0"/>
                <w:numId w:val="47"/>
              </w:numPr>
              <w:spacing w:after="0" w:line="240" w:lineRule="auto"/>
              <w:jc w:val="both"/>
              <w:rPr>
                <w:rFonts w:ascii="Garamond" w:eastAsia="Times New Roman" w:hAnsi="Garamond" w:cs="Times New Roman"/>
                <w:color w:val="000000"/>
                <w:lang w:eastAsia="it-IT"/>
              </w:rPr>
            </w:pPr>
            <w:r w:rsidRPr="00041ADA">
              <w:rPr>
                <w:rFonts w:ascii="Garamond" w:eastAsia="Times New Roman" w:hAnsi="Garamond" w:cs="Times New Roman"/>
                <w:color w:val="000000"/>
                <w:lang w:eastAsia="it-IT"/>
              </w:rPr>
              <w:t>b)  il 15 per cento del valore iniziale del contratto?</w:t>
            </w:r>
          </w:p>
        </w:tc>
        <w:tc>
          <w:tcPr>
            <w:tcW w:w="129" w:type="pct"/>
            <w:shd w:val="clear" w:color="auto" w:fill="auto"/>
            <w:vAlign w:val="center"/>
          </w:tcPr>
          <w:p w14:paraId="0B57055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4750CF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97E125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492E54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271D14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654F23A"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63770C8D" w14:textId="2D22EEF1"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61097" w:rsidRPr="00023F3C" w14:paraId="715A5658" w14:textId="77777777" w:rsidTr="009B30BC">
        <w:trPr>
          <w:trHeight w:val="605"/>
        </w:trPr>
        <w:tc>
          <w:tcPr>
            <w:tcW w:w="310" w:type="pct"/>
            <w:shd w:val="clear" w:color="auto" w:fill="auto"/>
            <w:vAlign w:val="center"/>
          </w:tcPr>
          <w:p w14:paraId="73C9D4CB" w14:textId="7A6A1A84"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15</w:t>
            </w:r>
          </w:p>
        </w:tc>
        <w:tc>
          <w:tcPr>
            <w:tcW w:w="1464" w:type="pct"/>
            <w:shd w:val="clear" w:color="auto" w:fill="auto"/>
            <w:vAlign w:val="center"/>
          </w:tcPr>
          <w:p w14:paraId="20269C0D" w14:textId="298580CD" w:rsidR="00B61097" w:rsidRPr="00172C2C" w:rsidRDefault="00B61097" w:rsidP="00B61097">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4C1273">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4C1273">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5, comma 11, dell’Allegato II.14 al D. Lgs. 36/2023)</w:t>
            </w:r>
            <w:r w:rsidRPr="004C1273">
              <w:rPr>
                <w:rFonts w:ascii="Garamond" w:eastAsia="Times New Roman" w:hAnsi="Garamond" w:cs="Times New Roman"/>
                <w:color w:val="000000"/>
                <w:lang w:eastAsia="it-IT"/>
              </w:rPr>
              <w:t>?</w:t>
            </w:r>
          </w:p>
        </w:tc>
        <w:tc>
          <w:tcPr>
            <w:tcW w:w="129" w:type="pct"/>
            <w:shd w:val="clear" w:color="auto" w:fill="auto"/>
            <w:vAlign w:val="center"/>
          </w:tcPr>
          <w:p w14:paraId="043D662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283EC2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5A08AC0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9BB6F8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46B2DE6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4778081D"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70B8E2E" w14:textId="182A186C"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B61097" w:rsidRPr="00023F3C" w14:paraId="0CF6F1C9" w14:textId="77777777" w:rsidTr="009B30BC">
        <w:trPr>
          <w:trHeight w:val="605"/>
        </w:trPr>
        <w:tc>
          <w:tcPr>
            <w:tcW w:w="310" w:type="pct"/>
            <w:shd w:val="clear" w:color="auto" w:fill="auto"/>
            <w:vAlign w:val="center"/>
          </w:tcPr>
          <w:p w14:paraId="31AF73CB" w14:textId="0672A25C"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16</w:t>
            </w:r>
          </w:p>
        </w:tc>
        <w:tc>
          <w:tcPr>
            <w:tcW w:w="1464" w:type="pct"/>
            <w:shd w:val="clear" w:color="auto" w:fill="auto"/>
            <w:vAlign w:val="center"/>
          </w:tcPr>
          <w:p w14:paraId="32F9F61C" w14:textId="605F02A8" w:rsidR="00B61097" w:rsidRPr="00172C2C" w:rsidRDefault="00B61097" w:rsidP="00B61097">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120, comma 9, del D. Lgs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29" w:type="pct"/>
            <w:shd w:val="clear" w:color="auto" w:fill="auto"/>
            <w:vAlign w:val="center"/>
          </w:tcPr>
          <w:p w14:paraId="3A634EF6"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D9157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918ADB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2CC8C7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C355BF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644B85FB"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614F490" w14:textId="52460C1D"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B61097" w:rsidRPr="00023F3C" w14:paraId="44EE682A" w14:textId="77777777" w:rsidTr="009B30BC">
        <w:trPr>
          <w:trHeight w:val="605"/>
        </w:trPr>
        <w:tc>
          <w:tcPr>
            <w:tcW w:w="310" w:type="pct"/>
            <w:shd w:val="clear" w:color="auto" w:fill="auto"/>
            <w:vAlign w:val="center"/>
          </w:tcPr>
          <w:p w14:paraId="78A66BB5" w14:textId="73F68E86"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464" w:type="pct"/>
            <w:shd w:val="clear" w:color="auto" w:fill="auto"/>
            <w:vAlign w:val="center"/>
          </w:tcPr>
          <w:p w14:paraId="237EE7BB" w14:textId="698D8156" w:rsidR="00B61097" w:rsidRPr="00172C2C" w:rsidRDefault="00B61097" w:rsidP="00B61097">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Per le ipotesi di aumento o</w:t>
            </w:r>
            <w:r>
              <w:rPr>
                <w:rFonts w:ascii="Garamond" w:eastAsia="Times New Roman" w:hAnsi="Garamond" w:cs="Times New Roman"/>
                <w:color w:val="000000"/>
                <w:lang w:eastAsia="it-IT"/>
              </w:rPr>
              <w:t xml:space="preserve"> </w:t>
            </w:r>
            <w:r w:rsidRPr="00D47024">
              <w:rPr>
                <w:rFonts w:ascii="Garamond" w:eastAsia="Times New Roman" w:hAnsi="Garamond" w:cs="Times New Roman"/>
                <w:color w:val="000000"/>
                <w:lang w:eastAsia="it-IT"/>
              </w:rPr>
              <w:t xml:space="preserve">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D. Lgs. 36/2023? </w:t>
            </w:r>
          </w:p>
        </w:tc>
        <w:tc>
          <w:tcPr>
            <w:tcW w:w="129" w:type="pct"/>
            <w:shd w:val="clear" w:color="auto" w:fill="auto"/>
            <w:vAlign w:val="center"/>
          </w:tcPr>
          <w:p w14:paraId="568CB6D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F4F420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EA3E96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13E8B9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77E9C1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7DEDF1BE" w14:textId="77777777" w:rsidR="00B61097" w:rsidRPr="00977279"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F35FB17" w14:textId="3A9EECC4" w:rsidR="00B61097" w:rsidRPr="00522B0F" w:rsidRDefault="00B61097" w:rsidP="00B61097">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B61097" w:rsidRPr="00023F3C" w14:paraId="695E9693" w14:textId="77777777" w:rsidTr="009B30BC">
        <w:trPr>
          <w:trHeight w:val="605"/>
        </w:trPr>
        <w:tc>
          <w:tcPr>
            <w:tcW w:w="310" w:type="pct"/>
            <w:shd w:val="clear" w:color="auto" w:fill="auto"/>
            <w:vAlign w:val="center"/>
          </w:tcPr>
          <w:p w14:paraId="091EDFB0" w14:textId="618E54C4"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64" w:type="pct"/>
            <w:shd w:val="clear" w:color="auto" w:fill="auto"/>
            <w:vAlign w:val="center"/>
          </w:tcPr>
          <w:p w14:paraId="007820E8" w14:textId="5DF89503" w:rsidR="00B61097" w:rsidRPr="00172C2C" w:rsidRDefault="00B61097" w:rsidP="00B61097">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w:t>
            </w:r>
            <w:r>
              <w:rPr>
                <w:rFonts w:ascii="Garamond" w:eastAsia="Times New Roman" w:hAnsi="Garamond" w:cs="Times New Roman"/>
                <w:color w:val="000000"/>
                <w:lang w:eastAsia="it-IT"/>
              </w:rPr>
              <w:t xml:space="preserve">omma </w:t>
            </w:r>
            <w:r w:rsidRPr="006357C1">
              <w:rPr>
                <w:rFonts w:ascii="Garamond" w:eastAsia="Times New Roman" w:hAnsi="Garamond" w:cs="Times New Roman"/>
                <w:color w:val="000000"/>
                <w:lang w:eastAsia="it-IT"/>
              </w:rPr>
              <w:t>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D.</w:t>
            </w:r>
            <w:r>
              <w:rPr>
                <w:rFonts w:ascii="Garamond" w:eastAsia="Times New Roman" w:hAnsi="Garamond" w:cs="Times New Roman"/>
                <w:color w:val="000000"/>
                <w:lang w:eastAsia="it-IT"/>
              </w:rPr>
              <w:t xml:space="preserve"> L</w:t>
            </w:r>
            <w:r w:rsidRPr="006357C1">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29" w:type="pct"/>
            <w:shd w:val="clear" w:color="auto" w:fill="auto"/>
            <w:vAlign w:val="center"/>
          </w:tcPr>
          <w:p w14:paraId="1B93201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64250C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6922638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752451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A31123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14F89960" w14:textId="77777777" w:rsidR="00B61097" w:rsidRPr="00977279"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793BA4B" w14:textId="1E3C93A3" w:rsidR="00B61097" w:rsidRPr="00522B0F" w:rsidRDefault="00B61097" w:rsidP="00B61097">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B61097" w:rsidRPr="00023F3C" w14:paraId="2D452B4D" w14:textId="77777777" w:rsidTr="009B30BC">
        <w:trPr>
          <w:trHeight w:val="605"/>
        </w:trPr>
        <w:tc>
          <w:tcPr>
            <w:tcW w:w="310" w:type="pct"/>
            <w:shd w:val="clear" w:color="auto" w:fill="auto"/>
            <w:vAlign w:val="center"/>
          </w:tcPr>
          <w:p w14:paraId="6CC3829B" w14:textId="179EF529"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64" w:type="pct"/>
            <w:shd w:val="clear" w:color="auto" w:fill="auto"/>
            <w:vAlign w:val="center"/>
          </w:tcPr>
          <w:p w14:paraId="0CE06C04" w14:textId="362767CE"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 sia reso necessario prorogare il contratto con l’</w:t>
            </w:r>
            <w:r w:rsidR="006F4881">
              <w:rPr>
                <w:rFonts w:ascii="Garamond" w:eastAsia="Times New Roman" w:hAnsi="Garamond" w:cs="Times New Roman"/>
                <w:color w:val="000000"/>
                <w:lang w:eastAsia="it-IT"/>
              </w:rPr>
              <w:t>Appaltatore</w:t>
            </w:r>
            <w:r>
              <w:rPr>
                <w:rFonts w:ascii="Garamond" w:eastAsia="Times New Roman" w:hAnsi="Garamond" w:cs="Times New Roman"/>
                <w:color w:val="000000"/>
                <w:lang w:eastAsia="it-IT"/>
              </w:rPr>
              <w:t xml:space="preserve"> uscente ai sensi dell’art. 120, comma 11, del D. Lgs. 36/2023 si è verificato che:</w:t>
            </w:r>
          </w:p>
          <w:p w14:paraId="189C8389" w14:textId="77777777" w:rsidR="00B61097" w:rsidRDefault="00B61097" w:rsidP="00B61097">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trattasse di casi eccezionali nei quali risultavano oggettivi e insuperabili ritardi nella conclusione della procedura di affidamento del contratto?</w:t>
            </w:r>
          </w:p>
          <w:p w14:paraId="476EED72" w14:textId="77777777" w:rsidR="00B61097" w:rsidRDefault="00B61097" w:rsidP="00B61097">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la proroga fosse prevista solo per il tempo strettamente necessario alla conclusione della procedura?</w:t>
            </w:r>
          </w:p>
          <w:p w14:paraId="23766228" w14:textId="0597FD9E" w:rsidR="00B61097" w:rsidRPr="0013063E" w:rsidRDefault="00B61097" w:rsidP="00B61097">
            <w:pPr>
              <w:pStyle w:val="ListParagraph"/>
              <w:numPr>
                <w:ilvl w:val="0"/>
                <w:numId w:val="17"/>
              </w:numPr>
              <w:spacing w:after="0" w:line="240" w:lineRule="auto"/>
              <w:jc w:val="both"/>
              <w:rPr>
                <w:rFonts w:ascii="Garamond" w:eastAsia="Times New Roman" w:hAnsi="Garamond" w:cs="Times New Roman"/>
                <w:color w:val="000000"/>
                <w:lang w:eastAsia="it-IT"/>
              </w:rPr>
            </w:pPr>
            <w:r w:rsidRPr="007B4329">
              <w:rPr>
                <w:rFonts w:ascii="Garamond" w:eastAsia="Times New Roman" w:hAnsi="Garamond" w:cs="Times New Roman"/>
                <w:color w:val="000000"/>
                <w:lang w:eastAsia="it-IT"/>
              </w:rPr>
              <w:t>l’interruzione delle prestazioni potesse determinare situazioni di pericolo per persone, animali, cose, oppure per l’igiene pubblica ovvero potrebbe determinare un grave danno all’interesse pubblico?</w:t>
            </w:r>
          </w:p>
        </w:tc>
        <w:tc>
          <w:tcPr>
            <w:tcW w:w="129" w:type="pct"/>
            <w:shd w:val="clear" w:color="auto" w:fill="auto"/>
            <w:vAlign w:val="center"/>
          </w:tcPr>
          <w:p w14:paraId="0FA0571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53A274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300EC4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574A5A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703ACF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40B9D849" w14:textId="77777777" w:rsidR="00B61097" w:rsidRPr="00977279"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30E7903" w14:textId="3ABB486F" w:rsidR="00B61097" w:rsidRPr="00977279" w:rsidRDefault="00B61097" w:rsidP="00B61097">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B61097" w:rsidRPr="00023F3C" w14:paraId="672475AE" w14:textId="77777777" w:rsidTr="009B30BC">
        <w:trPr>
          <w:trHeight w:val="605"/>
        </w:trPr>
        <w:tc>
          <w:tcPr>
            <w:tcW w:w="310" w:type="pct"/>
            <w:shd w:val="clear" w:color="auto" w:fill="auto"/>
            <w:vAlign w:val="center"/>
          </w:tcPr>
          <w:p w14:paraId="519B0030" w14:textId="740DBA00"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464" w:type="pct"/>
            <w:shd w:val="clear" w:color="auto" w:fill="auto"/>
            <w:vAlign w:val="center"/>
          </w:tcPr>
          <w:p w14:paraId="61238673" w14:textId="77777777"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2AE9DA79" w14:textId="77777777" w:rsidR="00B61097" w:rsidRDefault="00B61097" w:rsidP="00B6109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686F0EA0" w14:textId="77777777" w:rsidR="00B61097" w:rsidRPr="00BC215D" w:rsidRDefault="00B61097" w:rsidP="00B61097">
            <w:pPr>
              <w:pStyle w:val="ListParagraph"/>
              <w:numPr>
                <w:ilvl w:val="0"/>
                <w:numId w:val="18"/>
              </w:num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 xml:space="preserve">è presente la specifica clausola di </w:t>
            </w:r>
            <w:r w:rsidRPr="00BC215D">
              <w:rPr>
                <w:rFonts w:ascii="Garamond" w:eastAsia="Times New Roman" w:hAnsi="Garamond" w:cs="Times New Roman"/>
                <w:lang w:eastAsia="it-IT"/>
              </w:rPr>
              <w:t xml:space="preserve">rinegoziazione redatta ai sensi dell’art. 9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p w14:paraId="42631BC3" w14:textId="0790F296" w:rsidR="00B61097" w:rsidRPr="0013063E" w:rsidRDefault="00B61097" w:rsidP="00B61097">
            <w:pPr>
              <w:pStyle w:val="ListParagraph"/>
              <w:numPr>
                <w:ilvl w:val="0"/>
                <w:numId w:val="18"/>
              </w:num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sono state rispettate le tempistiche di cui all’art. 120, comma </w:t>
            </w:r>
            <w:r w:rsidRPr="00C91DAC">
              <w:rPr>
                <w:rFonts w:ascii="Garamond" w:eastAsia="Times New Roman" w:hAnsi="Garamond" w:cs="Times New Roman"/>
                <w:color w:val="000000"/>
                <w:lang w:eastAsia="it-IT"/>
              </w:rPr>
              <w:t>8</w:t>
            </w:r>
            <w:r>
              <w:rPr>
                <w:rFonts w:ascii="Garamond" w:eastAsia="Times New Roman" w:hAnsi="Garamond" w:cs="Times New Roman"/>
                <w:color w:val="000000"/>
                <w:lang w:eastAsia="it-IT"/>
              </w:rPr>
              <w:t>,</w:t>
            </w:r>
            <w:r w:rsidRPr="00C91DAC">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C91DA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C91DAC">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C91DAC">
              <w:rPr>
                <w:rFonts w:ascii="Garamond" w:eastAsia="Times New Roman" w:hAnsi="Garamond" w:cs="Times New Roman"/>
                <w:color w:val="000000"/>
                <w:lang w:eastAsia="it-IT"/>
              </w:rPr>
              <w:t xml:space="preserve"> 36/2023?</w:t>
            </w:r>
          </w:p>
        </w:tc>
        <w:tc>
          <w:tcPr>
            <w:tcW w:w="129" w:type="pct"/>
            <w:shd w:val="clear" w:color="auto" w:fill="auto"/>
            <w:vAlign w:val="center"/>
          </w:tcPr>
          <w:p w14:paraId="6F2CD80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667D29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805D8A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35609B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6BF730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62024B07" w14:textId="77777777" w:rsidR="00B61097" w:rsidRPr="00977279"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9AD445C" w14:textId="2F422C3C" w:rsidR="00B61097" w:rsidRPr="00977279" w:rsidRDefault="00B61097" w:rsidP="00B61097">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B61097" w:rsidRPr="00023F3C" w14:paraId="5DDF048B" w14:textId="77777777" w:rsidTr="009B30BC">
        <w:trPr>
          <w:trHeight w:val="605"/>
        </w:trPr>
        <w:tc>
          <w:tcPr>
            <w:tcW w:w="310" w:type="pct"/>
            <w:shd w:val="clear" w:color="auto" w:fill="auto"/>
            <w:vAlign w:val="center"/>
          </w:tcPr>
          <w:p w14:paraId="7CC38281" w14:textId="10844EDD"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464" w:type="pct"/>
            <w:shd w:val="clear" w:color="auto" w:fill="auto"/>
            <w:vAlign w:val="center"/>
          </w:tcPr>
          <w:p w14:paraId="73727716" w14:textId="26AE4DEB" w:rsidR="00B61097" w:rsidRPr="00D47024" w:rsidRDefault="00B61097" w:rsidP="00B6109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Pr="00172C2C">
              <w:rPr>
                <w:rFonts w:ascii="Garamond" w:eastAsia="Times New Roman" w:hAnsi="Garamond" w:cs="Times New Roman"/>
                <w:color w:val="000000"/>
                <w:lang w:eastAsia="it-IT"/>
              </w:rPr>
              <w:t>D.</w:t>
            </w:r>
            <w:r>
              <w:rPr>
                <w:rFonts w:ascii="Garamond" w:eastAsia="Times New Roman" w:hAnsi="Garamond" w:cs="Times New Roman"/>
                <w:color w:val="000000"/>
                <w:lang w:eastAsia="it-IT"/>
              </w:rPr>
              <w:t xml:space="preserve"> 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29" w:type="pct"/>
            <w:shd w:val="clear" w:color="auto" w:fill="auto"/>
            <w:vAlign w:val="center"/>
          </w:tcPr>
          <w:p w14:paraId="094F7A4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913F12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D1757D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390769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8226940" w14:textId="765271F0" w:rsidR="00B61097" w:rsidRPr="00023F3C" w:rsidRDefault="00B61097" w:rsidP="00B61097">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A partire dal 31 dicembre 2024, i</w:t>
            </w:r>
            <w:r w:rsidRPr="00501152">
              <w:rPr>
                <w:rFonts w:ascii="Garamond" w:eastAsia="Times New Roman" w:hAnsi="Garamond" w:cs="Times New Roman"/>
                <w:color w:val="2F5496" w:themeColor="accent1" w:themeShade="BF"/>
                <w:lang w:eastAsia="it-IT"/>
              </w:rPr>
              <w:t xml:space="preserve"> contratti di subappalto </w:t>
            </w:r>
            <w:r>
              <w:rPr>
                <w:rFonts w:ascii="Garamond" w:eastAsia="Times New Roman" w:hAnsi="Garamond" w:cs="Times New Roman"/>
                <w:color w:val="2F5496" w:themeColor="accent1" w:themeShade="BF"/>
                <w:lang w:eastAsia="it-IT"/>
              </w:rPr>
              <w:t xml:space="preserve">devono essere </w:t>
            </w:r>
            <w:r w:rsidRPr="00501152">
              <w:rPr>
                <w:rFonts w:ascii="Garamond" w:eastAsia="Times New Roman" w:hAnsi="Garamond" w:cs="Times New Roman"/>
                <w:color w:val="2F5496" w:themeColor="accent1" w:themeShade="BF"/>
                <w:lang w:eastAsia="it-IT"/>
              </w:rPr>
              <w:t>stipulati, in misura non inferiore al 20</w:t>
            </w:r>
            <w:r>
              <w:rPr>
                <w:rFonts w:ascii="Garamond" w:eastAsia="Times New Roman" w:hAnsi="Garamond" w:cs="Times New Roman"/>
                <w:color w:val="2F5496" w:themeColor="accent1" w:themeShade="BF"/>
                <w:lang w:eastAsia="it-IT"/>
              </w:rPr>
              <w:t>%</w:t>
            </w:r>
            <w:r w:rsidRPr="00501152">
              <w:rPr>
                <w:rFonts w:ascii="Garamond" w:eastAsia="Times New Roman" w:hAnsi="Garamond" w:cs="Times New Roman"/>
                <w:color w:val="2F5496" w:themeColor="accent1" w:themeShade="BF"/>
                <w:lang w:eastAsia="it-IT"/>
              </w:rPr>
              <w:t xml:space="preserve"> delle </w:t>
            </w:r>
            <w:r>
              <w:rPr>
                <w:rFonts w:ascii="Garamond" w:eastAsia="Times New Roman" w:hAnsi="Garamond" w:cs="Times New Roman"/>
                <w:color w:val="2F5496" w:themeColor="accent1" w:themeShade="BF"/>
                <w:lang w:eastAsia="it-IT"/>
              </w:rPr>
              <w:t>p</w:t>
            </w:r>
            <w:r w:rsidRPr="00501152">
              <w:rPr>
                <w:rFonts w:ascii="Garamond" w:eastAsia="Times New Roman" w:hAnsi="Garamond" w:cs="Times New Roman"/>
                <w:color w:val="2F5496" w:themeColor="accent1" w:themeShade="BF"/>
                <w:lang w:eastAsia="it-IT"/>
              </w:rPr>
              <w:t>restazioni</w:t>
            </w:r>
            <w:r>
              <w:rPr>
                <w:rFonts w:ascii="Garamond" w:eastAsia="Times New Roman" w:hAnsi="Garamond" w:cs="Times New Roman"/>
                <w:color w:val="2F5496" w:themeColor="accent1" w:themeShade="BF"/>
                <w:lang w:eastAsia="it-IT"/>
              </w:rPr>
              <w:t xml:space="preserve"> </w:t>
            </w:r>
            <w:r w:rsidRPr="00501152">
              <w:rPr>
                <w:rFonts w:ascii="Garamond" w:eastAsia="Times New Roman" w:hAnsi="Garamond" w:cs="Times New Roman"/>
                <w:color w:val="2F5496" w:themeColor="accent1" w:themeShade="BF"/>
                <w:lang w:eastAsia="it-IT"/>
              </w:rPr>
              <w:t xml:space="preserve">subappaltabili, con piccole e medie </w:t>
            </w:r>
            <w:r w:rsidRPr="00501152">
              <w:rPr>
                <w:rFonts w:ascii="Garamond" w:eastAsia="Times New Roman" w:hAnsi="Garamond" w:cs="Times New Roman"/>
                <w:color w:val="2F5496" w:themeColor="accent1" w:themeShade="BF"/>
                <w:lang w:eastAsia="it-IT"/>
              </w:rPr>
              <w:lastRenderedPageBreak/>
              <w:t>imprese</w:t>
            </w:r>
            <w:r>
              <w:rPr>
                <w:rFonts w:ascii="Garamond" w:eastAsia="Times New Roman" w:hAnsi="Garamond" w:cs="Times New Roman"/>
                <w:color w:val="2F5496" w:themeColor="accent1" w:themeShade="BF"/>
                <w:lang w:eastAsia="it-IT"/>
              </w:rPr>
              <w:t>. Inoltre, si impone l’inserimento delle clausole di revisione prezzi anche all’interno di tali contratti.</w:t>
            </w:r>
          </w:p>
        </w:tc>
        <w:tc>
          <w:tcPr>
            <w:tcW w:w="399" w:type="pct"/>
          </w:tcPr>
          <w:p w14:paraId="0CBACEA6"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5B2CB9C1" w14:textId="6C5179CE" w:rsidR="00B61097" w:rsidRPr="00977279"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B61097" w:rsidRPr="00023F3C" w14:paraId="1D50A41A" w14:textId="5AE11AB1" w:rsidTr="009B30BC">
        <w:trPr>
          <w:trHeight w:val="605"/>
        </w:trPr>
        <w:tc>
          <w:tcPr>
            <w:tcW w:w="310" w:type="pct"/>
            <w:shd w:val="clear" w:color="auto" w:fill="auto"/>
            <w:vAlign w:val="center"/>
          </w:tcPr>
          <w:p w14:paraId="60C25148" w14:textId="05DB355E"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464" w:type="pct"/>
            <w:shd w:val="clear" w:color="auto" w:fill="auto"/>
            <w:vAlign w:val="center"/>
          </w:tcPr>
          <w:p w14:paraId="19B5308B" w14:textId="6831A51C" w:rsidR="00B61097" w:rsidRPr="00E70256" w:rsidRDefault="00B61097" w:rsidP="00B6109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L’</w:t>
            </w:r>
            <w:r w:rsidR="006F4881">
              <w:rPr>
                <w:rFonts w:ascii="Garamond" w:eastAsia="Times New Roman" w:hAnsi="Garamond" w:cs="Times New Roman"/>
                <w:color w:val="000000"/>
                <w:lang w:eastAsia="it-IT"/>
              </w:rPr>
              <w:t>Appaltatore</w:t>
            </w:r>
            <w:r w:rsidRPr="00172C2C">
              <w:rPr>
                <w:rFonts w:ascii="Garamond" w:eastAsia="Times New Roman" w:hAnsi="Garamond" w:cs="Times New Roman"/>
                <w:color w:val="000000"/>
                <w:lang w:eastAsia="it-IT"/>
              </w:rPr>
              <w:t xml:space="preserve"> ha consegnato gli stati d’avanzamento lavori (SAL) e la relativa documentazione probatoria? </w:t>
            </w:r>
          </w:p>
        </w:tc>
        <w:tc>
          <w:tcPr>
            <w:tcW w:w="129" w:type="pct"/>
            <w:shd w:val="clear" w:color="auto" w:fill="auto"/>
            <w:vAlign w:val="center"/>
          </w:tcPr>
          <w:p w14:paraId="571401DC" w14:textId="110FC9A1"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5984C0F" w14:textId="25B6E148"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2EAAADF2" w14:textId="73ED5F0B"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4DFF63A" w14:textId="74642BAB"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EF5FCB0" w14:textId="1C8F5EF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4C80EE3D"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3DEBE22D" w14:textId="0D91512B" w:rsidR="00B61097" w:rsidRPr="00977279"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61097" w:rsidRPr="00023F3C" w14:paraId="68D2F740" w14:textId="77777777" w:rsidTr="009B30BC">
        <w:trPr>
          <w:trHeight w:val="605"/>
        </w:trPr>
        <w:tc>
          <w:tcPr>
            <w:tcW w:w="310" w:type="pct"/>
            <w:shd w:val="clear" w:color="auto" w:fill="auto"/>
            <w:vAlign w:val="center"/>
          </w:tcPr>
          <w:p w14:paraId="4FBE23C2" w14:textId="5EEE1DAC"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23</w:t>
            </w:r>
          </w:p>
        </w:tc>
        <w:tc>
          <w:tcPr>
            <w:tcW w:w="1464" w:type="pct"/>
            <w:shd w:val="clear" w:color="auto" w:fill="auto"/>
            <w:vAlign w:val="center"/>
          </w:tcPr>
          <w:p w14:paraId="4C6EAC75" w14:textId="3035ADAA" w:rsidR="00B61097" w:rsidRPr="00172C2C" w:rsidRDefault="00B61097" w:rsidP="00B61097">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r>
              <w:rPr>
                <w:rFonts w:ascii="Garamond" w:eastAsia="Times New Roman" w:hAnsi="Garamond" w:cs="Times New Roman"/>
                <w:color w:val="000000"/>
                <w:lang w:eastAsia="it-IT"/>
              </w:rPr>
              <w:t xml:space="preserve"> </w:t>
            </w:r>
            <w:r w:rsidRPr="009E1355">
              <w:rPr>
                <w:rFonts w:ascii="Garamond" w:eastAsia="Times New Roman" w:hAnsi="Garamond" w:cs="Times New Roman"/>
                <w:b/>
                <w:bCs/>
                <w:color w:val="000000"/>
                <w:lang w:eastAsia="it-IT"/>
              </w:rPr>
              <w:t>in coerenza con le indicazioni fornite nel contratto?</w:t>
            </w:r>
          </w:p>
        </w:tc>
        <w:tc>
          <w:tcPr>
            <w:tcW w:w="129" w:type="pct"/>
            <w:shd w:val="clear" w:color="auto" w:fill="auto"/>
            <w:vAlign w:val="center"/>
          </w:tcPr>
          <w:p w14:paraId="4CDADC5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3430B23"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3E0EECE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DA3DDD8"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2829C9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01A82003"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7BDD64D" w14:textId="336B5BD8"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61097" w:rsidRPr="00023F3C" w14:paraId="3914C8A6" w14:textId="77777777" w:rsidTr="009B30BC">
        <w:trPr>
          <w:trHeight w:val="605"/>
        </w:trPr>
        <w:tc>
          <w:tcPr>
            <w:tcW w:w="310" w:type="pct"/>
            <w:shd w:val="clear" w:color="auto" w:fill="auto"/>
            <w:vAlign w:val="center"/>
          </w:tcPr>
          <w:p w14:paraId="16C59FCD" w14:textId="22573277"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464" w:type="pct"/>
            <w:shd w:val="clear" w:color="auto" w:fill="auto"/>
            <w:vAlign w:val="center"/>
          </w:tcPr>
          <w:p w14:paraId="36903578" w14:textId="2AD2CECC" w:rsidR="00B61097" w:rsidRPr="00172C2C" w:rsidRDefault="00B61097" w:rsidP="00B6109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 del</w:t>
            </w:r>
            <w:r w:rsidRPr="00286AE1">
              <w:rPr>
                <w:rFonts w:ascii="Garamond" w:eastAsia="Times New Roman" w:hAnsi="Garamond" w:cs="Times New Roman"/>
                <w:color w:val="000000"/>
                <w:lang w:eastAsia="it-IT"/>
              </w:rPr>
              <w:t xml:space="preserve"> D. Lgs</w:t>
            </w:r>
            <w:r>
              <w:rPr>
                <w:rFonts w:ascii="Garamond" w:eastAsia="Times New Roman" w:hAnsi="Garamond" w:cs="Times New Roman"/>
                <w:color w:val="000000"/>
                <w:lang w:eastAsia="it-IT"/>
              </w:rPr>
              <w:t>.</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29" w:type="pct"/>
            <w:shd w:val="clear" w:color="auto" w:fill="auto"/>
            <w:vAlign w:val="center"/>
          </w:tcPr>
          <w:p w14:paraId="556006B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FEDCD2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0E43FF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F779931"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7A3C9CD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62326830" w14:textId="77777777" w:rsidR="00B61097" w:rsidRPr="00286AE1"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AD70BC9" w14:textId="7E06B3F3" w:rsidR="00B61097" w:rsidRDefault="00B61097" w:rsidP="00B6109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02595B6B" w14:textId="2EB96EA9" w:rsidR="00B61097" w:rsidRPr="00522B0F" w:rsidRDefault="00B61097" w:rsidP="00B61097">
            <w:pPr>
              <w:spacing w:after="0" w:line="240" w:lineRule="auto"/>
              <w:jc w:val="both"/>
              <w:rPr>
                <w:rFonts w:ascii="Garamond" w:eastAsia="Times New Roman" w:hAnsi="Garamond" w:cs="Times New Roman"/>
                <w:color w:val="000000"/>
                <w:lang w:eastAsia="it-IT"/>
              </w:rPr>
            </w:pPr>
          </w:p>
        </w:tc>
      </w:tr>
      <w:tr w:rsidR="00B61097" w:rsidRPr="00023F3C" w14:paraId="37DF5851" w14:textId="77777777" w:rsidTr="009B30BC">
        <w:trPr>
          <w:trHeight w:val="605"/>
        </w:trPr>
        <w:tc>
          <w:tcPr>
            <w:tcW w:w="310" w:type="pct"/>
            <w:shd w:val="clear" w:color="auto" w:fill="auto"/>
            <w:vAlign w:val="center"/>
          </w:tcPr>
          <w:p w14:paraId="6D626BA9" w14:textId="26DA415C"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464" w:type="pct"/>
            <w:shd w:val="clear" w:color="auto" w:fill="auto"/>
            <w:vAlign w:val="center"/>
          </w:tcPr>
          <w:p w14:paraId="73C91DB0" w14:textId="23FDE430" w:rsidR="00B61097" w:rsidRPr="00172C2C" w:rsidRDefault="00B61097" w:rsidP="00B61097">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29" w:type="pct"/>
            <w:shd w:val="clear" w:color="auto" w:fill="auto"/>
            <w:vAlign w:val="center"/>
          </w:tcPr>
          <w:p w14:paraId="0584ED5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791D49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109537E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78DDE8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289F8DF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596F6F90"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0C15B577" w14:textId="4B821BC0"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B61097" w:rsidRPr="00023F3C" w14:paraId="19DC8AC3" w14:textId="77777777" w:rsidTr="009B30BC">
        <w:trPr>
          <w:trHeight w:val="605"/>
        </w:trPr>
        <w:tc>
          <w:tcPr>
            <w:tcW w:w="310" w:type="pct"/>
            <w:shd w:val="clear" w:color="auto" w:fill="auto"/>
            <w:vAlign w:val="center"/>
          </w:tcPr>
          <w:p w14:paraId="0E4BFD36" w14:textId="7DDAEEC2"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26</w:t>
            </w:r>
          </w:p>
        </w:tc>
        <w:tc>
          <w:tcPr>
            <w:tcW w:w="1464" w:type="pct"/>
            <w:shd w:val="clear" w:color="auto" w:fill="auto"/>
            <w:vAlign w:val="center"/>
          </w:tcPr>
          <w:p w14:paraId="143DB5AB" w14:textId="3AFBA0E0" w:rsidR="00B61097" w:rsidRPr="00172C2C"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xml:space="preserve">Se sì, qualora la sospensione abbia superato il quarto del tempo contrattuale complessivo il responsabile del procedimento ha avvisato l’Autorità competente (ANAC) ai sensi dell’art. 121, comma 7, del </w:t>
            </w:r>
            <w:r>
              <w:rPr>
                <w:rFonts w:ascii="Garamond" w:eastAsia="Times New Roman" w:hAnsi="Garamond" w:cs="Times New Roman"/>
                <w:lang w:eastAsia="it-IT"/>
              </w:rPr>
              <w:t>D</w:t>
            </w:r>
            <w:r w:rsidRPr="00BC215D">
              <w:rPr>
                <w:rFonts w:ascii="Garamond" w:eastAsia="Times New Roman" w:hAnsi="Garamond" w:cs="Times New Roman"/>
                <w:lang w:eastAsia="it-IT"/>
              </w:rPr>
              <w:t>.</w:t>
            </w:r>
            <w:r>
              <w:rPr>
                <w:rFonts w:ascii="Garamond" w:eastAsia="Times New Roman" w:hAnsi="Garamond" w:cs="Times New Roman"/>
                <w:lang w:eastAsia="it-IT"/>
              </w:rPr>
              <w:t xml:space="preserve"> L</w:t>
            </w:r>
            <w:r w:rsidRPr="00BC215D">
              <w:rPr>
                <w:rFonts w:ascii="Garamond" w:eastAsia="Times New Roman" w:hAnsi="Garamond" w:cs="Times New Roman"/>
                <w:lang w:eastAsia="it-IT"/>
              </w:rPr>
              <w:t>gs. 36/2023?</w:t>
            </w:r>
          </w:p>
        </w:tc>
        <w:tc>
          <w:tcPr>
            <w:tcW w:w="129" w:type="pct"/>
            <w:shd w:val="clear" w:color="auto" w:fill="auto"/>
            <w:vAlign w:val="center"/>
          </w:tcPr>
          <w:p w14:paraId="1E6F2BA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9EB5B6C"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51F145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45BA90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5B70CC4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tcPr>
          <w:p w14:paraId="165748C6"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1158E1D6" w14:textId="51DE01AA"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B61097" w:rsidRPr="00023F3C" w14:paraId="0EDCE5FE" w14:textId="77777777" w:rsidTr="009B30BC">
        <w:trPr>
          <w:trHeight w:val="605"/>
        </w:trPr>
        <w:tc>
          <w:tcPr>
            <w:tcW w:w="310" w:type="pct"/>
            <w:shd w:val="clear" w:color="auto" w:fill="auto"/>
            <w:vAlign w:val="center"/>
          </w:tcPr>
          <w:p w14:paraId="5C23FD4F" w14:textId="461CDCBA"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27</w:t>
            </w:r>
          </w:p>
        </w:tc>
        <w:tc>
          <w:tcPr>
            <w:tcW w:w="1464" w:type="pct"/>
            <w:shd w:val="clear" w:color="auto" w:fill="auto"/>
            <w:vAlign w:val="center"/>
          </w:tcPr>
          <w:p w14:paraId="6BB99F3B" w14:textId="31774CEF" w:rsidR="00B61097" w:rsidRPr="00BC215D" w:rsidRDefault="00B61097" w:rsidP="00B61097">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 prestazione dei servizi e/o la fornitura</w:t>
            </w:r>
            <w:r w:rsidRPr="00A24809">
              <w:rPr>
                <w:rFonts w:ascii="Garamond" w:eastAsia="Times New Roman" w:hAnsi="Garamond" w:cs="Times New Roman"/>
                <w:lang w:eastAsia="it-IT"/>
              </w:rPr>
              <w:t xml:space="preserve"> si </w:t>
            </w:r>
            <w:r>
              <w:rPr>
                <w:rFonts w:ascii="Garamond" w:eastAsia="Times New Roman" w:hAnsi="Garamond" w:cs="Times New Roman"/>
                <w:lang w:eastAsia="it-IT"/>
              </w:rPr>
              <w:t>è</w:t>
            </w:r>
            <w:r w:rsidRPr="00A24809">
              <w:rPr>
                <w:rFonts w:ascii="Garamond" w:eastAsia="Times New Roman" w:hAnsi="Garamond" w:cs="Times New Roman"/>
                <w:lang w:eastAsia="it-IT"/>
              </w:rPr>
              <w:t xml:space="preserve"> conclus</w:t>
            </w:r>
            <w:r>
              <w:rPr>
                <w:rFonts w:ascii="Garamond" w:eastAsia="Times New Roman" w:hAnsi="Garamond" w:cs="Times New Roman"/>
                <w:lang w:eastAsia="it-IT"/>
              </w:rPr>
              <w:t>a</w:t>
            </w:r>
            <w:r w:rsidRPr="00A24809">
              <w:rPr>
                <w:rFonts w:ascii="Garamond" w:eastAsia="Times New Roman" w:hAnsi="Garamond" w:cs="Times New Roman"/>
                <w:lang w:eastAsia="it-IT"/>
              </w:rPr>
              <w:t xml:space="preserve"> nei tempi previsti da contratto?</w:t>
            </w:r>
          </w:p>
        </w:tc>
        <w:tc>
          <w:tcPr>
            <w:tcW w:w="129" w:type="pct"/>
            <w:shd w:val="clear" w:color="auto" w:fill="auto"/>
            <w:vAlign w:val="center"/>
          </w:tcPr>
          <w:p w14:paraId="4B1E8AFA"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DC66C1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702C9A7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A2DF255"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tcPr>
          <w:p w14:paraId="4FB6AEE0"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vAlign w:val="center"/>
          </w:tcPr>
          <w:p w14:paraId="2E5F94ED"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23E121DD" w14:textId="20BA2261" w:rsidR="00B61097" w:rsidRPr="00522B0F"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 Verbale di completamento delle attività/SAL</w:t>
            </w:r>
          </w:p>
        </w:tc>
      </w:tr>
      <w:tr w:rsidR="00B61097" w:rsidRPr="00023F3C" w14:paraId="41378011" w14:textId="77777777" w:rsidTr="009B30BC">
        <w:trPr>
          <w:trHeight w:val="605"/>
        </w:trPr>
        <w:tc>
          <w:tcPr>
            <w:tcW w:w="310" w:type="pct"/>
            <w:shd w:val="clear" w:color="auto" w:fill="auto"/>
            <w:vAlign w:val="center"/>
          </w:tcPr>
          <w:p w14:paraId="31B949ED" w14:textId="58C284D0"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28</w:t>
            </w:r>
          </w:p>
        </w:tc>
        <w:tc>
          <w:tcPr>
            <w:tcW w:w="1464" w:type="pct"/>
            <w:shd w:val="clear" w:color="auto" w:fill="auto"/>
            <w:vAlign w:val="center"/>
          </w:tcPr>
          <w:p w14:paraId="2C55CE42" w14:textId="0D7D3DF5" w:rsidR="00B61097" w:rsidRPr="00BC215D" w:rsidRDefault="00B61097" w:rsidP="00B61097">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w:t>
            </w:r>
            <w:r w:rsidR="006F4881">
              <w:rPr>
                <w:rFonts w:ascii="Garamond" w:eastAsia="Times New Roman" w:hAnsi="Garamond" w:cs="Times New Roman"/>
                <w:lang w:eastAsia="it-IT"/>
              </w:rPr>
              <w:t>Appaltatore</w:t>
            </w:r>
            <w:r>
              <w:rPr>
                <w:rFonts w:ascii="Garamond" w:eastAsia="Times New Roman" w:hAnsi="Garamond" w:cs="Times New Roman"/>
                <w:lang w:eastAsia="it-IT"/>
              </w:rPr>
              <w:t xml:space="preserve"> ha comunicato la data di ultimazione del servizio/fornitura?</w:t>
            </w:r>
          </w:p>
        </w:tc>
        <w:tc>
          <w:tcPr>
            <w:tcW w:w="129" w:type="pct"/>
            <w:shd w:val="clear" w:color="auto" w:fill="auto"/>
            <w:vAlign w:val="center"/>
          </w:tcPr>
          <w:p w14:paraId="72D6868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AF4C17D"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0AAFB26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15BD2AB"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0AAD94E9" w14:textId="13DBC2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0365742"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shd w:val="clear" w:color="auto" w:fill="auto"/>
            <w:vAlign w:val="center"/>
          </w:tcPr>
          <w:p w14:paraId="7FBE43AF" w14:textId="3AFE0B6A" w:rsidR="00B61097" w:rsidRPr="00522B0F" w:rsidRDefault="00B61097" w:rsidP="00B61097">
            <w:pPr>
              <w:spacing w:after="0" w:line="240" w:lineRule="auto"/>
              <w:jc w:val="both"/>
              <w:rPr>
                <w:rFonts w:ascii="Garamond" w:eastAsia="Times New Roman" w:hAnsi="Garamond" w:cs="Times New Roman"/>
                <w:color w:val="000000"/>
                <w:lang w:eastAsia="it-IT"/>
              </w:rPr>
            </w:pPr>
            <w:r w:rsidRPr="00BC215D">
              <w:rPr>
                <w:rFonts w:ascii="Garamond" w:eastAsia="Times New Roman" w:hAnsi="Garamond" w:cs="Times New Roman"/>
                <w:lang w:eastAsia="it-IT"/>
              </w:rPr>
              <w:t>•</w:t>
            </w:r>
            <w:r>
              <w:rPr>
                <w:rFonts w:ascii="Garamond" w:eastAsia="Times New Roman" w:hAnsi="Garamond" w:cs="Times New Roman"/>
                <w:lang w:eastAsia="it-IT"/>
              </w:rPr>
              <w:t xml:space="preserve"> Comunicazione ultimazione servizio/fornitura</w:t>
            </w:r>
          </w:p>
        </w:tc>
      </w:tr>
      <w:tr w:rsidR="00B61097" w:rsidRPr="00023F3C" w14:paraId="4F4323AF" w14:textId="77777777" w:rsidTr="009B30BC">
        <w:trPr>
          <w:trHeight w:val="605"/>
        </w:trPr>
        <w:tc>
          <w:tcPr>
            <w:tcW w:w="310" w:type="pct"/>
            <w:shd w:val="clear" w:color="auto" w:fill="auto"/>
            <w:vAlign w:val="center"/>
          </w:tcPr>
          <w:p w14:paraId="182F74FE" w14:textId="55F426DB" w:rsidR="00B61097" w:rsidRDefault="00B61097" w:rsidP="00B6109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464" w:type="pct"/>
            <w:shd w:val="clear" w:color="auto" w:fill="auto"/>
            <w:vAlign w:val="center"/>
          </w:tcPr>
          <w:p w14:paraId="6FA7F9A8" w14:textId="14DD23D5" w:rsidR="00B61097" w:rsidRDefault="00B61097" w:rsidP="00B61097">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 xml:space="preserve">È presente il certificato di verifica di conformità ai sensi dell’art. 116 del </w:t>
            </w:r>
            <w:r>
              <w:rPr>
                <w:rFonts w:ascii="Garamond" w:eastAsia="Times New Roman" w:hAnsi="Garamond" w:cs="Times New Roman"/>
                <w:lang w:eastAsia="it-IT"/>
              </w:rPr>
              <w:t>D</w:t>
            </w:r>
            <w:r w:rsidRPr="00045827">
              <w:rPr>
                <w:rFonts w:ascii="Garamond" w:eastAsia="Times New Roman" w:hAnsi="Garamond" w:cs="Times New Roman"/>
                <w:lang w:eastAsia="it-IT"/>
              </w:rPr>
              <w:t>.</w:t>
            </w:r>
            <w:r>
              <w:rPr>
                <w:rFonts w:ascii="Garamond" w:eastAsia="Times New Roman" w:hAnsi="Garamond" w:cs="Times New Roman"/>
                <w:lang w:eastAsia="it-IT"/>
              </w:rPr>
              <w:t xml:space="preserve"> L</w:t>
            </w:r>
            <w:r w:rsidRPr="00045827">
              <w:rPr>
                <w:rFonts w:ascii="Garamond" w:eastAsia="Times New Roman" w:hAnsi="Garamond" w:cs="Times New Roman"/>
                <w:lang w:eastAsia="it-IT"/>
              </w:rPr>
              <w:t>gs. 36/2023?</w:t>
            </w:r>
          </w:p>
        </w:tc>
        <w:tc>
          <w:tcPr>
            <w:tcW w:w="129" w:type="pct"/>
            <w:shd w:val="clear" w:color="auto" w:fill="auto"/>
            <w:vAlign w:val="center"/>
          </w:tcPr>
          <w:p w14:paraId="1A218384"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2BF1E92"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221" w:type="pct"/>
            <w:shd w:val="clear" w:color="auto" w:fill="auto"/>
            <w:vAlign w:val="center"/>
          </w:tcPr>
          <w:p w14:paraId="490482AF"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D163D87" w14:textId="77777777" w:rsidR="00B61097" w:rsidRPr="00023F3C" w:rsidRDefault="00B61097" w:rsidP="00B61097">
            <w:pPr>
              <w:spacing w:after="0" w:line="240" w:lineRule="auto"/>
              <w:jc w:val="both"/>
              <w:rPr>
                <w:rFonts w:ascii="Garamond" w:eastAsia="Times New Roman" w:hAnsi="Garamond" w:cs="Times New Roman"/>
                <w:b/>
                <w:bCs/>
                <w:color w:val="000000"/>
                <w:lang w:eastAsia="it-IT"/>
              </w:rPr>
            </w:pPr>
          </w:p>
        </w:tc>
        <w:tc>
          <w:tcPr>
            <w:tcW w:w="619" w:type="pct"/>
            <w:shd w:val="clear" w:color="auto" w:fill="auto"/>
            <w:vAlign w:val="center"/>
          </w:tcPr>
          <w:p w14:paraId="69434898" w14:textId="32F35D8D" w:rsidR="00B61097" w:rsidRPr="00CD3DF9" w:rsidRDefault="00B61097" w:rsidP="00B61097">
            <w:pPr>
              <w:spacing w:after="0" w:line="240" w:lineRule="auto"/>
              <w:jc w:val="both"/>
              <w:rPr>
                <w:rFonts w:ascii="Garamond" w:eastAsia="Times New Roman" w:hAnsi="Garamond" w:cs="Times New Roman"/>
                <w:lang w:eastAsia="it-IT"/>
              </w:rPr>
            </w:pPr>
          </w:p>
        </w:tc>
        <w:tc>
          <w:tcPr>
            <w:tcW w:w="399" w:type="pct"/>
          </w:tcPr>
          <w:p w14:paraId="2AA564D6" w14:textId="77777777" w:rsidR="00B61097" w:rsidRPr="00522B0F" w:rsidRDefault="00B61097" w:rsidP="00B61097">
            <w:pPr>
              <w:spacing w:after="0" w:line="240" w:lineRule="auto"/>
              <w:jc w:val="both"/>
              <w:rPr>
                <w:rFonts w:ascii="Garamond" w:eastAsia="Times New Roman" w:hAnsi="Garamond" w:cs="Times New Roman"/>
                <w:color w:val="000000"/>
                <w:lang w:eastAsia="it-IT"/>
              </w:rPr>
            </w:pPr>
          </w:p>
        </w:tc>
        <w:tc>
          <w:tcPr>
            <w:tcW w:w="1150" w:type="pct"/>
            <w:vAlign w:val="center"/>
          </w:tcPr>
          <w:p w14:paraId="44ECAF4F" w14:textId="77777777" w:rsidR="00B61097"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Certificato di verifica di conformità</w:t>
            </w:r>
          </w:p>
          <w:p w14:paraId="5544E647" w14:textId="470E3F91" w:rsidR="00B61097" w:rsidRPr="00522B0F" w:rsidRDefault="00B61097" w:rsidP="00B61097">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Attestato di regolare esecuzione </w:t>
            </w:r>
          </w:p>
        </w:tc>
      </w:tr>
    </w:tbl>
    <w:p w14:paraId="0E13A419" w14:textId="77777777" w:rsidR="00ED65A5" w:rsidRDefault="00ED65A5" w:rsidP="00484691">
      <w:pPr>
        <w:jc w:val="both"/>
      </w:pPr>
    </w:p>
    <w:p w14:paraId="228B0403" w14:textId="77777777" w:rsidR="00ED65A5" w:rsidRDefault="00ED65A5" w:rsidP="00ED65A5"/>
    <w:p w14:paraId="2DAFD9DC" w14:textId="77777777" w:rsidR="006E221D" w:rsidRDefault="006E221D" w:rsidP="00ED65A5"/>
    <w:p w14:paraId="68E02040" w14:textId="77777777" w:rsidR="006E221D" w:rsidRDefault="006E221D" w:rsidP="00ED65A5"/>
    <w:p w14:paraId="77A784BD" w14:textId="77777777" w:rsidR="006E221D" w:rsidRDefault="006E221D" w:rsidP="00ED65A5"/>
    <w:p w14:paraId="70283815" w14:textId="77777777" w:rsidR="00F23325" w:rsidRDefault="00F23325" w:rsidP="00ED65A5"/>
    <w:p w14:paraId="5E0F985D" w14:textId="77777777" w:rsidR="00F23325" w:rsidRDefault="00F23325" w:rsidP="00ED65A5"/>
    <w:p w14:paraId="351B2C42" w14:textId="77777777" w:rsidR="006E221D" w:rsidRDefault="006E221D" w:rsidP="00ED65A5"/>
    <w:p w14:paraId="23606F10" w14:textId="77777777" w:rsidR="00617316" w:rsidRDefault="00617316" w:rsidP="00ED65A5"/>
    <w:p w14:paraId="5A9D76DD" w14:textId="77777777" w:rsidR="00CD3DF9" w:rsidRDefault="00CD3DF9" w:rsidP="00ED65A5"/>
    <w:p w14:paraId="683D195F" w14:textId="77777777" w:rsidR="006E221D" w:rsidRDefault="006E221D" w:rsidP="00ED65A5"/>
    <w:tbl>
      <w:tblPr>
        <w:tblW w:w="4073" w:type="pct"/>
        <w:jc w:val="center"/>
        <w:tblLayout w:type="fixed"/>
        <w:tblCellMar>
          <w:left w:w="70" w:type="dxa"/>
          <w:right w:w="70" w:type="dxa"/>
        </w:tblCellMar>
        <w:tblLook w:val="04A0" w:firstRow="1" w:lastRow="0" w:firstColumn="1" w:lastColumn="0" w:noHBand="0" w:noVBand="1"/>
      </w:tblPr>
      <w:tblGrid>
        <w:gridCol w:w="9084"/>
        <w:gridCol w:w="618"/>
        <w:gridCol w:w="1920"/>
      </w:tblGrid>
      <w:tr w:rsidR="00B23038" w:rsidRPr="00544D7D" w14:paraId="2EF225FD" w14:textId="77777777" w:rsidTr="00532087">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3443FA9D" w14:textId="77777777" w:rsidR="00B23038" w:rsidRPr="00544D7D" w:rsidRDefault="00B23038" w:rsidP="00532087">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B23038" w:rsidRPr="00544D7D" w14:paraId="3E77441B" w14:textId="77777777" w:rsidTr="00532087">
        <w:trPr>
          <w:trHeight w:val="465"/>
          <w:jc w:val="center"/>
        </w:trPr>
        <w:tc>
          <w:tcPr>
            <w:tcW w:w="3908"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AA8234B" w14:textId="77777777" w:rsidR="00B23038" w:rsidRPr="00544D7D" w:rsidRDefault="00B23038" w:rsidP="00532087">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3F5EB98E"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single" w:sz="4" w:space="0" w:color="auto"/>
              <w:right w:val="single" w:sz="8" w:space="0" w:color="auto"/>
            </w:tcBorders>
            <w:shd w:val="clear" w:color="000000" w:fill="FFFFFF"/>
            <w:vAlign w:val="center"/>
            <w:hideMark/>
          </w:tcPr>
          <w:p w14:paraId="3001571A"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B23038" w:rsidRPr="00544D7D" w14:paraId="40BF6989" w14:textId="77777777" w:rsidTr="00532087">
        <w:trPr>
          <w:trHeight w:val="465"/>
          <w:jc w:val="center"/>
        </w:trPr>
        <w:tc>
          <w:tcPr>
            <w:tcW w:w="3908"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007C9A7A" w14:textId="77777777" w:rsidR="00B23038" w:rsidRPr="00544D7D" w:rsidRDefault="00B23038" w:rsidP="0053208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473EE58E"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6" w:type="pct"/>
            <w:tcBorders>
              <w:top w:val="nil"/>
              <w:left w:val="nil"/>
              <w:bottom w:val="single" w:sz="4" w:space="0" w:color="auto"/>
              <w:right w:val="single" w:sz="8" w:space="0" w:color="auto"/>
            </w:tcBorders>
            <w:shd w:val="clear" w:color="000000" w:fill="FFFFFF"/>
            <w:vAlign w:val="center"/>
          </w:tcPr>
          <w:p w14:paraId="52F94B02"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B23038" w:rsidRPr="00544D7D" w14:paraId="706027B5" w14:textId="77777777" w:rsidTr="00532087">
        <w:trPr>
          <w:trHeight w:val="465"/>
          <w:jc w:val="center"/>
        </w:trPr>
        <w:tc>
          <w:tcPr>
            <w:tcW w:w="3908" w:type="pct"/>
            <w:vMerge/>
            <w:tcBorders>
              <w:top w:val="single" w:sz="4" w:space="0" w:color="auto"/>
              <w:left w:val="single" w:sz="8" w:space="0" w:color="auto"/>
              <w:bottom w:val="single" w:sz="4" w:space="0" w:color="auto"/>
              <w:right w:val="single" w:sz="4" w:space="0" w:color="auto"/>
            </w:tcBorders>
            <w:vAlign w:val="center"/>
            <w:hideMark/>
          </w:tcPr>
          <w:p w14:paraId="0A40967F" w14:textId="77777777" w:rsidR="00B23038" w:rsidRPr="00544D7D" w:rsidRDefault="00B23038" w:rsidP="0053208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nil"/>
              <w:right w:val="single" w:sz="4" w:space="0" w:color="auto"/>
            </w:tcBorders>
            <w:shd w:val="clear" w:color="000000" w:fill="FFFFFF"/>
            <w:noWrap/>
            <w:vAlign w:val="center"/>
            <w:hideMark/>
          </w:tcPr>
          <w:p w14:paraId="6ADA44ED"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nil"/>
              <w:right w:val="single" w:sz="8" w:space="0" w:color="auto"/>
            </w:tcBorders>
            <w:shd w:val="clear" w:color="000000" w:fill="FFFFFF"/>
            <w:vAlign w:val="center"/>
            <w:hideMark/>
          </w:tcPr>
          <w:p w14:paraId="52931A2E"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r w:rsidR="00B23038" w:rsidRPr="00544D7D" w14:paraId="14616746" w14:textId="77777777" w:rsidTr="00532087">
        <w:trPr>
          <w:trHeight w:val="465"/>
          <w:jc w:val="center"/>
        </w:trPr>
        <w:tc>
          <w:tcPr>
            <w:tcW w:w="3908" w:type="pct"/>
            <w:tcBorders>
              <w:top w:val="single" w:sz="4" w:space="0" w:color="auto"/>
              <w:left w:val="single" w:sz="8" w:space="0" w:color="auto"/>
              <w:bottom w:val="single" w:sz="8" w:space="0" w:color="000000"/>
              <w:right w:val="single" w:sz="4" w:space="0" w:color="auto"/>
            </w:tcBorders>
            <w:vAlign w:val="center"/>
          </w:tcPr>
          <w:p w14:paraId="33E03228" w14:textId="77777777" w:rsidR="00B23038" w:rsidRPr="00544D7D" w:rsidRDefault="00B23038" w:rsidP="00532087">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tcPr>
          <w:p w14:paraId="3AF0F57C"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6" w:type="pct"/>
            <w:tcBorders>
              <w:top w:val="nil"/>
              <w:left w:val="nil"/>
              <w:bottom w:val="single" w:sz="8" w:space="0" w:color="auto"/>
              <w:right w:val="single" w:sz="8" w:space="0" w:color="auto"/>
            </w:tcBorders>
            <w:shd w:val="clear" w:color="000000" w:fill="FFFFFF"/>
            <w:vAlign w:val="center"/>
          </w:tcPr>
          <w:p w14:paraId="49065E6D"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SOSPESO </w:t>
            </w:r>
          </w:p>
        </w:tc>
      </w:tr>
    </w:tbl>
    <w:p w14:paraId="77C39C94" w14:textId="77777777" w:rsidR="00B23038" w:rsidRDefault="00B23038" w:rsidP="00B23038"/>
    <w:tbl>
      <w:tblPr>
        <w:tblStyle w:val="TableGrid"/>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B23038" w14:paraId="7CB638D3" w14:textId="77777777" w:rsidTr="00532087">
        <w:trPr>
          <w:trHeight w:val="558"/>
        </w:trPr>
        <w:tc>
          <w:tcPr>
            <w:tcW w:w="3539" w:type="dxa"/>
            <w:shd w:val="clear" w:color="auto" w:fill="B8CCE4"/>
            <w:vAlign w:val="center"/>
          </w:tcPr>
          <w:p w14:paraId="265AC3CB" w14:textId="77777777" w:rsidR="00B23038" w:rsidRDefault="00B23038" w:rsidP="0053208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0315F720" w14:textId="77777777" w:rsidR="00B23038" w:rsidRDefault="00B23038" w:rsidP="00532087">
            <w:pPr>
              <w:rPr>
                <w:rFonts w:ascii="Garamond" w:eastAsia="Times New Roman" w:hAnsi="Garamond" w:cs="Times New Roman"/>
                <w:b/>
                <w:sz w:val="24"/>
                <w:szCs w:val="24"/>
                <w:lang w:eastAsia="it-IT"/>
              </w:rPr>
            </w:pPr>
          </w:p>
        </w:tc>
      </w:tr>
      <w:tr w:rsidR="00B23038" w14:paraId="09EFD309" w14:textId="77777777" w:rsidTr="00532087">
        <w:trPr>
          <w:trHeight w:val="549"/>
        </w:trPr>
        <w:tc>
          <w:tcPr>
            <w:tcW w:w="3539" w:type="dxa"/>
            <w:shd w:val="clear" w:color="auto" w:fill="B8CCE4"/>
            <w:vAlign w:val="center"/>
          </w:tcPr>
          <w:p w14:paraId="75AEEB51" w14:textId="77777777" w:rsidR="00B23038" w:rsidRDefault="00B23038" w:rsidP="0053208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52866C26" w14:textId="77777777" w:rsidR="00B23038" w:rsidRDefault="00B23038" w:rsidP="00532087">
            <w:pPr>
              <w:rPr>
                <w:rFonts w:ascii="Garamond" w:eastAsia="Times New Roman" w:hAnsi="Garamond" w:cs="Times New Roman"/>
                <w:b/>
                <w:sz w:val="24"/>
                <w:szCs w:val="24"/>
                <w:lang w:eastAsia="it-IT"/>
              </w:rPr>
            </w:pPr>
          </w:p>
        </w:tc>
      </w:tr>
      <w:tr w:rsidR="00B23038" w14:paraId="1A23A8A5" w14:textId="77777777" w:rsidTr="00532087">
        <w:trPr>
          <w:trHeight w:val="560"/>
        </w:trPr>
        <w:tc>
          <w:tcPr>
            <w:tcW w:w="3539" w:type="dxa"/>
            <w:shd w:val="clear" w:color="auto" w:fill="B8CCE4"/>
            <w:vAlign w:val="center"/>
          </w:tcPr>
          <w:p w14:paraId="507FC2F4" w14:textId="77777777" w:rsidR="00B23038" w:rsidRDefault="00B23038" w:rsidP="0053208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5066FDCE" w14:textId="77777777" w:rsidR="00B23038" w:rsidRDefault="00B23038" w:rsidP="00532087">
            <w:pPr>
              <w:rPr>
                <w:rFonts w:ascii="Garamond" w:eastAsia="Times New Roman" w:hAnsi="Garamond" w:cs="Times New Roman"/>
                <w:b/>
                <w:sz w:val="24"/>
                <w:szCs w:val="24"/>
                <w:lang w:eastAsia="it-IT"/>
              </w:rPr>
            </w:pPr>
          </w:p>
        </w:tc>
      </w:tr>
      <w:tr w:rsidR="00B23038" w14:paraId="3F7EAED6" w14:textId="77777777" w:rsidTr="00532087">
        <w:trPr>
          <w:trHeight w:val="568"/>
        </w:trPr>
        <w:tc>
          <w:tcPr>
            <w:tcW w:w="3539" w:type="dxa"/>
            <w:shd w:val="clear" w:color="auto" w:fill="B8CCE4"/>
            <w:vAlign w:val="center"/>
          </w:tcPr>
          <w:p w14:paraId="65098F7E" w14:textId="77777777" w:rsidR="00B23038" w:rsidRDefault="00B23038" w:rsidP="00532087">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3AD2AE8A" w14:textId="77777777" w:rsidR="00B23038" w:rsidRDefault="00B23038" w:rsidP="00532087">
            <w:pPr>
              <w:rPr>
                <w:rFonts w:ascii="Garamond" w:eastAsia="Times New Roman" w:hAnsi="Garamond" w:cs="Times New Roman"/>
                <w:b/>
                <w:sz w:val="24"/>
                <w:szCs w:val="24"/>
                <w:lang w:eastAsia="it-IT"/>
              </w:rPr>
            </w:pPr>
          </w:p>
        </w:tc>
      </w:tr>
    </w:tbl>
    <w:p w14:paraId="7A062540" w14:textId="77777777" w:rsidR="00B23038" w:rsidRDefault="00B23038" w:rsidP="00B23038"/>
    <w:p w14:paraId="58CFFC76" w14:textId="77777777" w:rsidR="00B23038" w:rsidRDefault="00B23038" w:rsidP="00B23038"/>
    <w:p w14:paraId="3E153094" w14:textId="77777777" w:rsidR="00B23038" w:rsidRDefault="00B23038" w:rsidP="00B23038"/>
    <w:p w14:paraId="4DF58551" w14:textId="77777777" w:rsidR="00B23038" w:rsidRDefault="00B23038" w:rsidP="00B23038"/>
    <w:p w14:paraId="5F084F50" w14:textId="77777777" w:rsidR="00B23038" w:rsidRDefault="00B23038" w:rsidP="00B23038"/>
    <w:p w14:paraId="5CD79690" w14:textId="77777777" w:rsidR="00B23038" w:rsidRDefault="00B23038" w:rsidP="00B23038"/>
    <w:tbl>
      <w:tblPr>
        <w:tblW w:w="4031" w:type="pct"/>
        <w:jc w:val="center"/>
        <w:tblLayout w:type="fixed"/>
        <w:tblCellMar>
          <w:left w:w="70" w:type="dxa"/>
          <w:right w:w="70" w:type="dxa"/>
        </w:tblCellMar>
        <w:tblLook w:val="04A0" w:firstRow="1" w:lastRow="0" w:firstColumn="1" w:lastColumn="0" w:noHBand="0" w:noVBand="1"/>
      </w:tblPr>
      <w:tblGrid>
        <w:gridCol w:w="11502"/>
      </w:tblGrid>
      <w:tr w:rsidR="00B23038" w:rsidRPr="00544D7D" w14:paraId="0EB445C5" w14:textId="77777777" w:rsidTr="00532087">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55B7FEBC" w14:textId="77777777" w:rsidR="00B23038" w:rsidRPr="00544D7D" w:rsidRDefault="00B23038" w:rsidP="00532087">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B23038" w:rsidRPr="00544D7D" w14:paraId="5D5602A5" w14:textId="77777777" w:rsidTr="00532087">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34E55761"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p>
        </w:tc>
      </w:tr>
      <w:tr w:rsidR="00B23038" w:rsidRPr="00544D7D" w14:paraId="56A109E8" w14:textId="77777777" w:rsidTr="00532087">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hideMark/>
          </w:tcPr>
          <w:p w14:paraId="47B06F0C" w14:textId="77777777" w:rsidR="00B23038" w:rsidRPr="00544D7D" w:rsidRDefault="00B23038" w:rsidP="00532087">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B23038" w:rsidRPr="00544D7D" w14:paraId="2D961A89" w14:textId="77777777" w:rsidTr="00532087">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7B05EE5B"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p>
        </w:tc>
      </w:tr>
      <w:tr w:rsidR="00B23038" w:rsidRPr="00544D7D" w14:paraId="6BFEE19E" w14:textId="77777777" w:rsidTr="00532087">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tcPr>
          <w:p w14:paraId="7284CECF"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B23038" w:rsidRPr="00544D7D" w14:paraId="3E9CF07D" w14:textId="77777777" w:rsidTr="00532087">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2C226582" w14:textId="77777777" w:rsidR="00B23038" w:rsidRPr="00544D7D" w:rsidRDefault="00B23038" w:rsidP="00532087">
            <w:pPr>
              <w:spacing w:after="0" w:line="240" w:lineRule="auto"/>
              <w:jc w:val="center"/>
              <w:rPr>
                <w:rFonts w:ascii="Garamond" w:eastAsia="Times New Roman" w:hAnsi="Garamond" w:cs="Times New Roman"/>
                <w:color w:val="000000"/>
                <w:lang w:eastAsia="it-IT"/>
              </w:rPr>
            </w:pPr>
          </w:p>
        </w:tc>
      </w:tr>
    </w:tbl>
    <w:p w14:paraId="25C2B118" w14:textId="77777777" w:rsidR="00B23038" w:rsidRPr="00544D7D" w:rsidRDefault="00B23038" w:rsidP="00B23038">
      <w:pPr>
        <w:rPr>
          <w:rFonts w:ascii="Garamond" w:hAnsi="Garamond"/>
        </w:rPr>
      </w:pPr>
    </w:p>
    <w:p w14:paraId="3910BCB6" w14:textId="77777777" w:rsidR="00B23038" w:rsidRDefault="00B23038" w:rsidP="00B23038">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B23038" w:rsidRPr="00EC3B0D" w14:paraId="22B1C9B1" w14:textId="77777777" w:rsidTr="00532087">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2246789" w14:textId="77777777" w:rsidR="00B23038" w:rsidRPr="00EC3B0D" w:rsidRDefault="00B23038" w:rsidP="00532087">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59A4CF4E" w14:textId="77777777" w:rsidR="00B23038" w:rsidRPr="00EC3B0D" w:rsidRDefault="00B23038" w:rsidP="00532087">
            <w:pPr>
              <w:jc w:val="center"/>
              <w:rPr>
                <w:rFonts w:ascii="Garamond" w:hAnsi="Garamond" w:cs="Calibri"/>
              </w:rPr>
            </w:pPr>
            <w:r w:rsidRPr="00EC3B0D">
              <w:rPr>
                <w:rFonts w:ascii="Garamond" w:hAnsi="Garamond" w:cs="Calibri"/>
              </w:rPr>
              <w:t>___/___/_____</w:t>
            </w:r>
          </w:p>
        </w:tc>
      </w:tr>
      <w:tr w:rsidR="00B23038" w:rsidRPr="00EC3B0D" w14:paraId="418E61F2" w14:textId="77777777" w:rsidTr="00532087">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993436D" w14:textId="77777777" w:rsidR="00B23038" w:rsidRPr="00EC3B0D" w:rsidRDefault="00B23038" w:rsidP="00532087">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B23038" w:rsidRPr="00EC3B0D" w14:paraId="3D995A0F" w14:textId="77777777" w:rsidTr="0053208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E506758" w14:textId="77777777" w:rsidR="00B23038" w:rsidRPr="00EC3B0D" w:rsidRDefault="00B23038" w:rsidP="00532087">
            <w:pPr>
              <w:rPr>
                <w:rFonts w:ascii="Garamond" w:hAnsi="Garamond" w:cs="Calibri"/>
                <w:b/>
              </w:rPr>
            </w:pPr>
          </w:p>
        </w:tc>
      </w:tr>
      <w:tr w:rsidR="00B23038" w:rsidRPr="00EC3B0D" w14:paraId="67CD6B6F" w14:textId="77777777" w:rsidTr="0053208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F20C90A" w14:textId="77777777" w:rsidR="00B23038" w:rsidRPr="00EC3B0D" w:rsidRDefault="00B23038" w:rsidP="00532087">
            <w:pPr>
              <w:rPr>
                <w:rFonts w:ascii="Garamond" w:hAnsi="Garamond" w:cs="Calibri"/>
                <w:b/>
              </w:rPr>
            </w:pPr>
          </w:p>
        </w:tc>
      </w:tr>
      <w:tr w:rsidR="00B23038" w:rsidRPr="00EC3B0D" w14:paraId="53AF9DF6" w14:textId="77777777" w:rsidTr="00532087">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E9F6341" w14:textId="77777777" w:rsidR="00B23038" w:rsidRPr="00264DDD" w:rsidRDefault="00B23038" w:rsidP="00532087">
            <w:pPr>
              <w:rPr>
                <w:rFonts w:ascii="Garamond" w:hAnsi="Garamond" w:cs="Calibri"/>
                <w:b/>
              </w:rPr>
            </w:pPr>
            <w:r w:rsidRPr="00264DDD">
              <w:rPr>
                <w:rFonts w:ascii="Garamond" w:hAnsi="Garamond" w:cs="Calibri"/>
                <w:b/>
              </w:rPr>
              <w:t>Rif. Check ROS</w:t>
            </w:r>
            <w:r>
              <w:rPr>
                <w:rFonts w:ascii="Garamond" w:hAnsi="Garamond" w:cs="Calibri"/>
                <w:b/>
              </w:rPr>
              <w:t>: ____________________________________________Firma</w:t>
            </w:r>
          </w:p>
        </w:tc>
      </w:tr>
    </w:tbl>
    <w:p w14:paraId="134BCF0C" w14:textId="77777777" w:rsidR="00B23038" w:rsidRPr="00544D7D" w:rsidRDefault="00B23038" w:rsidP="00B23038">
      <w:pPr>
        <w:rPr>
          <w:rFonts w:ascii="Garamond" w:hAnsi="Garamond"/>
        </w:rPr>
      </w:pPr>
    </w:p>
    <w:p w14:paraId="34CE38B2" w14:textId="77777777" w:rsidR="007C6B4C" w:rsidRDefault="007C6B4C"/>
    <w:sectPr w:rsidR="007C6B4C" w:rsidSect="0065086B">
      <w:headerReference w:type="default" r:id="rId10"/>
      <w:footerReference w:type="default" r:id="rId11"/>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A30C" w14:textId="77777777" w:rsidR="00BD490B" w:rsidRDefault="00BD490B" w:rsidP="00ED65A5">
      <w:pPr>
        <w:spacing w:after="0" w:line="240" w:lineRule="auto"/>
      </w:pPr>
      <w:r>
        <w:separator/>
      </w:r>
    </w:p>
  </w:endnote>
  <w:endnote w:type="continuationSeparator" w:id="0">
    <w:p w14:paraId="6A4D1223" w14:textId="77777777" w:rsidR="00BD490B" w:rsidRDefault="00BD490B" w:rsidP="00ED65A5">
      <w:pPr>
        <w:spacing w:after="0" w:line="240" w:lineRule="auto"/>
      </w:pPr>
      <w:r>
        <w:continuationSeparator/>
      </w:r>
    </w:p>
  </w:endnote>
  <w:endnote w:type="continuationNotice" w:id="1">
    <w:p w14:paraId="6BDE0A13" w14:textId="77777777" w:rsidR="00BD490B" w:rsidRDefault="00BD49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250793" w:rsidRPr="00B50AD7" w:rsidRDefault="00EB2D5F">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250793" w:rsidRDefault="00250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7618" w14:textId="77777777" w:rsidR="00BD490B" w:rsidRDefault="00BD490B" w:rsidP="00ED65A5">
      <w:pPr>
        <w:spacing w:after="0" w:line="240" w:lineRule="auto"/>
      </w:pPr>
      <w:r>
        <w:separator/>
      </w:r>
    </w:p>
  </w:footnote>
  <w:footnote w:type="continuationSeparator" w:id="0">
    <w:p w14:paraId="14A77A0B" w14:textId="77777777" w:rsidR="00BD490B" w:rsidRDefault="00BD490B" w:rsidP="00ED65A5">
      <w:pPr>
        <w:spacing w:after="0" w:line="240" w:lineRule="auto"/>
      </w:pPr>
      <w:r>
        <w:continuationSeparator/>
      </w:r>
    </w:p>
  </w:footnote>
  <w:footnote w:type="continuationNotice" w:id="1">
    <w:p w14:paraId="761B9019" w14:textId="77777777" w:rsidR="00BD490B" w:rsidRDefault="00BD490B">
      <w:pPr>
        <w:spacing w:after="0" w:line="240" w:lineRule="auto"/>
      </w:pPr>
    </w:p>
  </w:footnote>
  <w:footnote w:id="2">
    <w:p w14:paraId="14C64F4F" w14:textId="77777777" w:rsidR="00D032E5" w:rsidRDefault="00D032E5" w:rsidP="00D032E5">
      <w:pPr>
        <w:pStyle w:val="FootnoteText"/>
      </w:pPr>
      <w:r>
        <w:rPr>
          <w:rStyle w:val="FootnoteReference"/>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204FE" w14:textId="24FAD86A" w:rsidR="00ED65A5" w:rsidRPr="00E927BB" w:rsidRDefault="00F61AA1" w:rsidP="00E927BB">
    <w:pPr>
      <w:pStyle w:val="Header"/>
    </w:pPr>
    <w:r>
      <w:rPr>
        <w:noProof/>
      </w:rPr>
      <w:drawing>
        <wp:inline distT="0" distB="0" distL="0" distR="0" wp14:anchorId="464D2B0E" wp14:editId="19799C0B">
          <wp:extent cx="6074722" cy="1042989"/>
          <wp:effectExtent l="0" t="0" r="2540" b="5080"/>
          <wp:docPr id="2"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E0437" w14:textId="6E3D912A" w:rsidR="00E927BB" w:rsidRPr="00E927BB" w:rsidRDefault="00F61AA1" w:rsidP="00F61AA1">
    <w:pPr>
      <w:pStyle w:val="Header"/>
      <w:jc w:val="center"/>
      <w:rPr>
        <w:noProof/>
      </w:rPr>
    </w:pPr>
    <w:r>
      <w:rPr>
        <w:noProof/>
      </w:rPr>
      <w:drawing>
        <wp:inline distT="0" distB="0" distL="0" distR="0" wp14:anchorId="3C903EBD" wp14:editId="04C3BB6B">
          <wp:extent cx="6074722" cy="1042989"/>
          <wp:effectExtent l="0" t="0" r="2540" b="5080"/>
          <wp:docPr id="216066798"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p w14:paraId="70500AC5" w14:textId="77777777" w:rsidR="00250793" w:rsidRPr="00E927BB" w:rsidRDefault="00250793" w:rsidP="00E92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E751C"/>
    <w:multiLevelType w:val="hybridMultilevel"/>
    <w:tmpl w:val="0EF05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A87A29"/>
    <w:multiLevelType w:val="hybridMultilevel"/>
    <w:tmpl w:val="7B5CEC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65C8E"/>
    <w:multiLevelType w:val="hybridMultilevel"/>
    <w:tmpl w:val="152A4C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A47352"/>
    <w:multiLevelType w:val="hybridMultilevel"/>
    <w:tmpl w:val="B6241C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C103DB"/>
    <w:multiLevelType w:val="hybridMultilevel"/>
    <w:tmpl w:val="A218EB5C"/>
    <w:lvl w:ilvl="0" w:tplc="C6C635C8">
      <w:start w:val="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1B2A94"/>
    <w:multiLevelType w:val="hybridMultilevel"/>
    <w:tmpl w:val="6CD001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8B06BD"/>
    <w:multiLevelType w:val="hybridMultilevel"/>
    <w:tmpl w:val="370E726E"/>
    <w:lvl w:ilvl="0" w:tplc="7CE6E546">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BC14A58"/>
    <w:multiLevelType w:val="hybridMultilevel"/>
    <w:tmpl w:val="924ABB00"/>
    <w:lvl w:ilvl="0" w:tplc="05001A64">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CF2028"/>
    <w:multiLevelType w:val="hybridMultilevel"/>
    <w:tmpl w:val="931632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7E22DB"/>
    <w:multiLevelType w:val="hybridMultilevel"/>
    <w:tmpl w:val="D5B0646A"/>
    <w:lvl w:ilvl="0" w:tplc="243A2F1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505416"/>
    <w:multiLevelType w:val="hybridMultilevel"/>
    <w:tmpl w:val="31DC3F02"/>
    <w:lvl w:ilvl="0" w:tplc="1DFEEAE0">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9F2806"/>
    <w:multiLevelType w:val="hybridMultilevel"/>
    <w:tmpl w:val="4B7C493A"/>
    <w:lvl w:ilvl="0" w:tplc="0410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737779"/>
    <w:multiLevelType w:val="hybridMultilevel"/>
    <w:tmpl w:val="D6E0EF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E35D80"/>
    <w:multiLevelType w:val="hybridMultilevel"/>
    <w:tmpl w:val="688887E0"/>
    <w:lvl w:ilvl="0" w:tplc="01348A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40665F"/>
    <w:multiLevelType w:val="hybridMultilevel"/>
    <w:tmpl w:val="3192353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CF6FA5"/>
    <w:multiLevelType w:val="hybridMultilevel"/>
    <w:tmpl w:val="A798E1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798377D"/>
    <w:multiLevelType w:val="hybridMultilevel"/>
    <w:tmpl w:val="2364FA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0E0B13"/>
    <w:multiLevelType w:val="hybridMultilevel"/>
    <w:tmpl w:val="060080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8AD0D08"/>
    <w:multiLevelType w:val="hybridMultilevel"/>
    <w:tmpl w:val="DA6291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AD3C4A"/>
    <w:multiLevelType w:val="hybridMultilevel"/>
    <w:tmpl w:val="2A380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125684"/>
    <w:multiLevelType w:val="hybridMultilevel"/>
    <w:tmpl w:val="79007D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1AA5BBC"/>
    <w:multiLevelType w:val="hybridMultilevel"/>
    <w:tmpl w:val="749C02E0"/>
    <w:lvl w:ilvl="0" w:tplc="9814B6B2">
      <w:start w:val="1"/>
      <w:numFmt w:val="lowerRoman"/>
      <w:lvlText w:val="%1."/>
      <w:lvlJc w:val="left"/>
      <w:pPr>
        <w:ind w:left="1128" w:hanging="7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850838"/>
    <w:multiLevelType w:val="hybridMultilevel"/>
    <w:tmpl w:val="945C1AE6"/>
    <w:lvl w:ilvl="0" w:tplc="39E206F0">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4A9474C"/>
    <w:multiLevelType w:val="hybridMultilevel"/>
    <w:tmpl w:val="041871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9C37C4"/>
    <w:multiLevelType w:val="hybridMultilevel"/>
    <w:tmpl w:val="D7F42D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E915AF"/>
    <w:multiLevelType w:val="hybridMultilevel"/>
    <w:tmpl w:val="381CF5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AEA377C"/>
    <w:multiLevelType w:val="hybridMultilevel"/>
    <w:tmpl w:val="DA4E816A"/>
    <w:lvl w:ilvl="0" w:tplc="5B820336">
      <w:start w:val="1"/>
      <w:numFmt w:val="bullet"/>
      <w:lvlText w:val="-"/>
      <w:lvlJc w:val="left"/>
      <w:pPr>
        <w:ind w:left="720" w:hanging="360"/>
      </w:pPr>
      <w:rPr>
        <w:rFonts w:ascii="Garamond" w:eastAsia="Times New Roman" w:hAnsi="Garamond"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B1D58BC"/>
    <w:multiLevelType w:val="hybridMultilevel"/>
    <w:tmpl w:val="9FBED38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C313808"/>
    <w:multiLevelType w:val="hybridMultilevel"/>
    <w:tmpl w:val="97C86C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F311A1"/>
    <w:multiLevelType w:val="hybridMultilevel"/>
    <w:tmpl w:val="38F43EF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8929481">
    <w:abstractNumId w:val="10"/>
  </w:num>
  <w:num w:numId="2" w16cid:durableId="258682057">
    <w:abstractNumId w:val="9"/>
  </w:num>
  <w:num w:numId="3" w16cid:durableId="1345398713">
    <w:abstractNumId w:val="18"/>
  </w:num>
  <w:num w:numId="4" w16cid:durableId="831262980">
    <w:abstractNumId w:val="35"/>
  </w:num>
  <w:num w:numId="5" w16cid:durableId="1969168871">
    <w:abstractNumId w:val="20"/>
  </w:num>
  <w:num w:numId="6" w16cid:durableId="1914899142">
    <w:abstractNumId w:val="32"/>
  </w:num>
  <w:num w:numId="7" w16cid:durableId="467093254">
    <w:abstractNumId w:val="2"/>
  </w:num>
  <w:num w:numId="8" w16cid:durableId="1541893936">
    <w:abstractNumId w:val="7"/>
  </w:num>
  <w:num w:numId="9" w16cid:durableId="1470053440">
    <w:abstractNumId w:val="17"/>
  </w:num>
  <w:num w:numId="10" w16cid:durableId="568923620">
    <w:abstractNumId w:val="23"/>
  </w:num>
  <w:num w:numId="11" w16cid:durableId="447705771">
    <w:abstractNumId w:val="25"/>
  </w:num>
  <w:num w:numId="12" w16cid:durableId="415634444">
    <w:abstractNumId w:val="31"/>
  </w:num>
  <w:num w:numId="13" w16cid:durableId="1224677524">
    <w:abstractNumId w:val="14"/>
  </w:num>
  <w:num w:numId="14" w16cid:durableId="495266982">
    <w:abstractNumId w:val="4"/>
  </w:num>
  <w:num w:numId="15" w16cid:durableId="125708024">
    <w:abstractNumId w:val="37"/>
  </w:num>
  <w:num w:numId="16" w16cid:durableId="414281245">
    <w:abstractNumId w:val="46"/>
  </w:num>
  <w:num w:numId="17" w16cid:durableId="625737865">
    <w:abstractNumId w:val="40"/>
  </w:num>
  <w:num w:numId="18" w16cid:durableId="103305561">
    <w:abstractNumId w:val="5"/>
  </w:num>
  <w:num w:numId="19" w16cid:durableId="1072391204">
    <w:abstractNumId w:val="30"/>
  </w:num>
  <w:num w:numId="20" w16cid:durableId="1944874266">
    <w:abstractNumId w:val="45"/>
  </w:num>
  <w:num w:numId="21" w16cid:durableId="2109689367">
    <w:abstractNumId w:val="34"/>
  </w:num>
  <w:num w:numId="22" w16cid:durableId="1459108954">
    <w:abstractNumId w:val="3"/>
  </w:num>
  <w:num w:numId="23" w16cid:durableId="825242194">
    <w:abstractNumId w:val="12"/>
  </w:num>
  <w:num w:numId="24" w16cid:durableId="1971278468">
    <w:abstractNumId w:val="28"/>
  </w:num>
  <w:num w:numId="25" w16cid:durableId="2061124469">
    <w:abstractNumId w:val="19"/>
  </w:num>
  <w:num w:numId="26" w16cid:durableId="942348005">
    <w:abstractNumId w:val="43"/>
  </w:num>
  <w:num w:numId="27" w16cid:durableId="409161649">
    <w:abstractNumId w:val="47"/>
  </w:num>
  <w:num w:numId="28" w16cid:durableId="1781996475">
    <w:abstractNumId w:val="39"/>
  </w:num>
  <w:num w:numId="29" w16cid:durableId="700203471">
    <w:abstractNumId w:val="29"/>
  </w:num>
  <w:num w:numId="30" w16cid:durableId="1572232706">
    <w:abstractNumId w:val="36"/>
  </w:num>
  <w:num w:numId="31" w16cid:durableId="1424304680">
    <w:abstractNumId w:val="41"/>
  </w:num>
  <w:num w:numId="32" w16cid:durableId="174002119">
    <w:abstractNumId w:val="22"/>
  </w:num>
  <w:num w:numId="33" w16cid:durableId="1197814251">
    <w:abstractNumId w:val="24"/>
  </w:num>
  <w:num w:numId="34" w16cid:durableId="648943335">
    <w:abstractNumId w:val="8"/>
  </w:num>
  <w:num w:numId="35" w16cid:durableId="1012610189">
    <w:abstractNumId w:val="16"/>
  </w:num>
  <w:num w:numId="36" w16cid:durableId="99957301">
    <w:abstractNumId w:val="38"/>
  </w:num>
  <w:num w:numId="37" w16cid:durableId="682827441">
    <w:abstractNumId w:val="21"/>
  </w:num>
  <w:num w:numId="38" w16cid:durableId="1935357334">
    <w:abstractNumId w:val="44"/>
  </w:num>
  <w:num w:numId="39" w16cid:durableId="1573811713">
    <w:abstractNumId w:val="48"/>
  </w:num>
  <w:num w:numId="40" w16cid:durableId="2101027722">
    <w:abstractNumId w:val="13"/>
  </w:num>
  <w:num w:numId="41" w16cid:durableId="1127893267">
    <w:abstractNumId w:val="11"/>
  </w:num>
  <w:num w:numId="42" w16cid:durableId="2021926386">
    <w:abstractNumId w:val="42"/>
  </w:num>
  <w:num w:numId="43" w16cid:durableId="1291398950">
    <w:abstractNumId w:val="0"/>
  </w:num>
  <w:num w:numId="44" w16cid:durableId="1869683524">
    <w:abstractNumId w:val="1"/>
  </w:num>
  <w:num w:numId="45" w16cid:durableId="1990943362">
    <w:abstractNumId w:val="27"/>
  </w:num>
  <w:num w:numId="46" w16cid:durableId="844396457">
    <w:abstractNumId w:val="33"/>
  </w:num>
  <w:num w:numId="47" w16cid:durableId="765199665">
    <w:abstractNumId w:val="26"/>
  </w:num>
  <w:num w:numId="48" w16cid:durableId="1756852367">
    <w:abstractNumId w:val="6"/>
  </w:num>
  <w:num w:numId="49" w16cid:durableId="15179612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1D77"/>
    <w:rsid w:val="00013042"/>
    <w:rsid w:val="000136BD"/>
    <w:rsid w:val="00013A99"/>
    <w:rsid w:val="00015B46"/>
    <w:rsid w:val="0003389A"/>
    <w:rsid w:val="00036302"/>
    <w:rsid w:val="0003652E"/>
    <w:rsid w:val="000368B7"/>
    <w:rsid w:val="00041ADA"/>
    <w:rsid w:val="000457F2"/>
    <w:rsid w:val="00046FBC"/>
    <w:rsid w:val="00047C65"/>
    <w:rsid w:val="000616DA"/>
    <w:rsid w:val="00061F9F"/>
    <w:rsid w:val="0006695A"/>
    <w:rsid w:val="00073802"/>
    <w:rsid w:val="00086486"/>
    <w:rsid w:val="00086F65"/>
    <w:rsid w:val="00090F06"/>
    <w:rsid w:val="000962C8"/>
    <w:rsid w:val="000A08FF"/>
    <w:rsid w:val="000A0CB7"/>
    <w:rsid w:val="000C0424"/>
    <w:rsid w:val="000C1990"/>
    <w:rsid w:val="000C2555"/>
    <w:rsid w:val="000C55EC"/>
    <w:rsid w:val="000C6087"/>
    <w:rsid w:val="000D058C"/>
    <w:rsid w:val="000D247E"/>
    <w:rsid w:val="000D7226"/>
    <w:rsid w:val="000E16C4"/>
    <w:rsid w:val="000E6501"/>
    <w:rsid w:val="00100F78"/>
    <w:rsid w:val="001033BC"/>
    <w:rsid w:val="00105AC6"/>
    <w:rsid w:val="00106A1A"/>
    <w:rsid w:val="00115263"/>
    <w:rsid w:val="0011622D"/>
    <w:rsid w:val="001167A1"/>
    <w:rsid w:val="00121F3F"/>
    <w:rsid w:val="0012539E"/>
    <w:rsid w:val="001263B0"/>
    <w:rsid w:val="00126734"/>
    <w:rsid w:val="0013063E"/>
    <w:rsid w:val="001331D8"/>
    <w:rsid w:val="00136B33"/>
    <w:rsid w:val="00137F5A"/>
    <w:rsid w:val="001400FE"/>
    <w:rsid w:val="0014566E"/>
    <w:rsid w:val="001459E4"/>
    <w:rsid w:val="001510D5"/>
    <w:rsid w:val="00152063"/>
    <w:rsid w:val="00157068"/>
    <w:rsid w:val="001573E2"/>
    <w:rsid w:val="0016116F"/>
    <w:rsid w:val="001652EA"/>
    <w:rsid w:val="001733E9"/>
    <w:rsid w:val="00173C85"/>
    <w:rsid w:val="00191356"/>
    <w:rsid w:val="00196290"/>
    <w:rsid w:val="001B1A3F"/>
    <w:rsid w:val="001B3B90"/>
    <w:rsid w:val="001C12A0"/>
    <w:rsid w:val="001C270A"/>
    <w:rsid w:val="001C62D1"/>
    <w:rsid w:val="001D5647"/>
    <w:rsid w:val="001D56B8"/>
    <w:rsid w:val="001D786D"/>
    <w:rsid w:val="001E0049"/>
    <w:rsid w:val="001E39E4"/>
    <w:rsid w:val="001E6225"/>
    <w:rsid w:val="001F1EBE"/>
    <w:rsid w:val="001F3EC5"/>
    <w:rsid w:val="002004EE"/>
    <w:rsid w:val="00203298"/>
    <w:rsid w:val="00203E16"/>
    <w:rsid w:val="00206282"/>
    <w:rsid w:val="0022105A"/>
    <w:rsid w:val="0022238F"/>
    <w:rsid w:val="002247E9"/>
    <w:rsid w:val="00226A4E"/>
    <w:rsid w:val="002306CF"/>
    <w:rsid w:val="00241724"/>
    <w:rsid w:val="0024699D"/>
    <w:rsid w:val="00247233"/>
    <w:rsid w:val="00250793"/>
    <w:rsid w:val="002654BF"/>
    <w:rsid w:val="00267562"/>
    <w:rsid w:val="00270C96"/>
    <w:rsid w:val="0028306A"/>
    <w:rsid w:val="00283B67"/>
    <w:rsid w:val="002841C3"/>
    <w:rsid w:val="00290D1F"/>
    <w:rsid w:val="002A3857"/>
    <w:rsid w:val="002C0962"/>
    <w:rsid w:val="002C6C9D"/>
    <w:rsid w:val="002C7563"/>
    <w:rsid w:val="002D561A"/>
    <w:rsid w:val="002E7F6A"/>
    <w:rsid w:val="00300AD4"/>
    <w:rsid w:val="00305196"/>
    <w:rsid w:val="00305C6F"/>
    <w:rsid w:val="003121EF"/>
    <w:rsid w:val="0031451A"/>
    <w:rsid w:val="00315D9A"/>
    <w:rsid w:val="00330E62"/>
    <w:rsid w:val="0033394A"/>
    <w:rsid w:val="00333C13"/>
    <w:rsid w:val="00347E3A"/>
    <w:rsid w:val="003566A3"/>
    <w:rsid w:val="00370B33"/>
    <w:rsid w:val="00373AEA"/>
    <w:rsid w:val="003810BE"/>
    <w:rsid w:val="00386EE5"/>
    <w:rsid w:val="00391C7F"/>
    <w:rsid w:val="00393A78"/>
    <w:rsid w:val="003A2C44"/>
    <w:rsid w:val="003A472D"/>
    <w:rsid w:val="003A4BB9"/>
    <w:rsid w:val="003A4EF4"/>
    <w:rsid w:val="003B2A69"/>
    <w:rsid w:val="003B3B86"/>
    <w:rsid w:val="003B4B16"/>
    <w:rsid w:val="003C470F"/>
    <w:rsid w:val="003C6424"/>
    <w:rsid w:val="003D3C66"/>
    <w:rsid w:val="003E0DAC"/>
    <w:rsid w:val="003E6F74"/>
    <w:rsid w:val="003F5A2B"/>
    <w:rsid w:val="0040082E"/>
    <w:rsid w:val="00404A5A"/>
    <w:rsid w:val="00405F3A"/>
    <w:rsid w:val="004107E6"/>
    <w:rsid w:val="00412AC0"/>
    <w:rsid w:val="00414BB1"/>
    <w:rsid w:val="00415D30"/>
    <w:rsid w:val="00430512"/>
    <w:rsid w:val="0044027F"/>
    <w:rsid w:val="00442797"/>
    <w:rsid w:val="004469D0"/>
    <w:rsid w:val="004572BA"/>
    <w:rsid w:val="004579DA"/>
    <w:rsid w:val="00460206"/>
    <w:rsid w:val="0047189E"/>
    <w:rsid w:val="00472BBB"/>
    <w:rsid w:val="00474F78"/>
    <w:rsid w:val="0048396B"/>
    <w:rsid w:val="00484691"/>
    <w:rsid w:val="004A1C5C"/>
    <w:rsid w:val="004A6FCD"/>
    <w:rsid w:val="004A790C"/>
    <w:rsid w:val="004B26E0"/>
    <w:rsid w:val="004C738E"/>
    <w:rsid w:val="004D70C5"/>
    <w:rsid w:val="004E05F9"/>
    <w:rsid w:val="004E1259"/>
    <w:rsid w:val="004F19DD"/>
    <w:rsid w:val="0050736F"/>
    <w:rsid w:val="005148BB"/>
    <w:rsid w:val="00516787"/>
    <w:rsid w:val="00516E9F"/>
    <w:rsid w:val="0052136D"/>
    <w:rsid w:val="00521C08"/>
    <w:rsid w:val="00526796"/>
    <w:rsid w:val="00530DD4"/>
    <w:rsid w:val="00532382"/>
    <w:rsid w:val="005331F8"/>
    <w:rsid w:val="0054454A"/>
    <w:rsid w:val="00547D40"/>
    <w:rsid w:val="005554E6"/>
    <w:rsid w:val="00561264"/>
    <w:rsid w:val="00565D00"/>
    <w:rsid w:val="0056669D"/>
    <w:rsid w:val="005672FA"/>
    <w:rsid w:val="00567A0C"/>
    <w:rsid w:val="00567AF9"/>
    <w:rsid w:val="00573CFE"/>
    <w:rsid w:val="00574809"/>
    <w:rsid w:val="005765F5"/>
    <w:rsid w:val="00576CE4"/>
    <w:rsid w:val="00584B70"/>
    <w:rsid w:val="005A06E1"/>
    <w:rsid w:val="005A4388"/>
    <w:rsid w:val="005A6427"/>
    <w:rsid w:val="005B58A0"/>
    <w:rsid w:val="005C47B3"/>
    <w:rsid w:val="005D422F"/>
    <w:rsid w:val="005D5A64"/>
    <w:rsid w:val="005E4072"/>
    <w:rsid w:val="005E5535"/>
    <w:rsid w:val="005F04D8"/>
    <w:rsid w:val="005F32E1"/>
    <w:rsid w:val="00606621"/>
    <w:rsid w:val="00606C66"/>
    <w:rsid w:val="00607057"/>
    <w:rsid w:val="00610338"/>
    <w:rsid w:val="00617316"/>
    <w:rsid w:val="006266A8"/>
    <w:rsid w:val="00630E06"/>
    <w:rsid w:val="0063344D"/>
    <w:rsid w:val="00633A3F"/>
    <w:rsid w:val="00642C29"/>
    <w:rsid w:val="0065086B"/>
    <w:rsid w:val="00656242"/>
    <w:rsid w:val="00661AC1"/>
    <w:rsid w:val="00667BEA"/>
    <w:rsid w:val="00671809"/>
    <w:rsid w:val="00673553"/>
    <w:rsid w:val="0068210C"/>
    <w:rsid w:val="0069019F"/>
    <w:rsid w:val="006945F7"/>
    <w:rsid w:val="006952D8"/>
    <w:rsid w:val="006A0B39"/>
    <w:rsid w:val="006A62CB"/>
    <w:rsid w:val="006B583E"/>
    <w:rsid w:val="006D6693"/>
    <w:rsid w:val="006E0623"/>
    <w:rsid w:val="006E159C"/>
    <w:rsid w:val="006E1BE2"/>
    <w:rsid w:val="006E221D"/>
    <w:rsid w:val="006F4881"/>
    <w:rsid w:val="00700BC6"/>
    <w:rsid w:val="00702E76"/>
    <w:rsid w:val="00705032"/>
    <w:rsid w:val="007067F1"/>
    <w:rsid w:val="00710A05"/>
    <w:rsid w:val="00725CBB"/>
    <w:rsid w:val="007402B7"/>
    <w:rsid w:val="0074213C"/>
    <w:rsid w:val="007531D6"/>
    <w:rsid w:val="00754561"/>
    <w:rsid w:val="007608B8"/>
    <w:rsid w:val="007633E4"/>
    <w:rsid w:val="007849D9"/>
    <w:rsid w:val="00792A49"/>
    <w:rsid w:val="007958CC"/>
    <w:rsid w:val="007A10C3"/>
    <w:rsid w:val="007A5B78"/>
    <w:rsid w:val="007C65B9"/>
    <w:rsid w:val="007C6B4C"/>
    <w:rsid w:val="007E287A"/>
    <w:rsid w:val="007E3777"/>
    <w:rsid w:val="007E6265"/>
    <w:rsid w:val="007F1971"/>
    <w:rsid w:val="00811B61"/>
    <w:rsid w:val="008124EB"/>
    <w:rsid w:val="00812D8D"/>
    <w:rsid w:val="00813576"/>
    <w:rsid w:val="00817892"/>
    <w:rsid w:val="00822D0F"/>
    <w:rsid w:val="00823569"/>
    <w:rsid w:val="00831071"/>
    <w:rsid w:val="00834CE4"/>
    <w:rsid w:val="00837C01"/>
    <w:rsid w:val="008421B7"/>
    <w:rsid w:val="00855603"/>
    <w:rsid w:val="00855AFA"/>
    <w:rsid w:val="008575E9"/>
    <w:rsid w:val="00867D68"/>
    <w:rsid w:val="00881ED0"/>
    <w:rsid w:val="00885C2A"/>
    <w:rsid w:val="00890020"/>
    <w:rsid w:val="00891063"/>
    <w:rsid w:val="0089135E"/>
    <w:rsid w:val="00892800"/>
    <w:rsid w:val="008A78BB"/>
    <w:rsid w:val="008B09A5"/>
    <w:rsid w:val="008B1574"/>
    <w:rsid w:val="008B4390"/>
    <w:rsid w:val="008B4911"/>
    <w:rsid w:val="008B6D99"/>
    <w:rsid w:val="008B775D"/>
    <w:rsid w:val="008B7FD1"/>
    <w:rsid w:val="008C00A5"/>
    <w:rsid w:val="008C28F2"/>
    <w:rsid w:val="008C4FB2"/>
    <w:rsid w:val="008C5268"/>
    <w:rsid w:val="008E2DFD"/>
    <w:rsid w:val="008E308B"/>
    <w:rsid w:val="008F05CC"/>
    <w:rsid w:val="008F40C7"/>
    <w:rsid w:val="008F4E7F"/>
    <w:rsid w:val="00905175"/>
    <w:rsid w:val="00920037"/>
    <w:rsid w:val="0092184C"/>
    <w:rsid w:val="00937AB7"/>
    <w:rsid w:val="009442E5"/>
    <w:rsid w:val="00945717"/>
    <w:rsid w:val="009558F4"/>
    <w:rsid w:val="009762D1"/>
    <w:rsid w:val="009765EE"/>
    <w:rsid w:val="0098010D"/>
    <w:rsid w:val="0098416A"/>
    <w:rsid w:val="00984505"/>
    <w:rsid w:val="00985A0A"/>
    <w:rsid w:val="009A0B14"/>
    <w:rsid w:val="009A3161"/>
    <w:rsid w:val="009A423F"/>
    <w:rsid w:val="009A571F"/>
    <w:rsid w:val="009A6F30"/>
    <w:rsid w:val="009B30BC"/>
    <w:rsid w:val="009B6CE1"/>
    <w:rsid w:val="009C1554"/>
    <w:rsid w:val="009C4536"/>
    <w:rsid w:val="009D1816"/>
    <w:rsid w:val="009F02F7"/>
    <w:rsid w:val="00A00449"/>
    <w:rsid w:val="00A1052A"/>
    <w:rsid w:val="00A15270"/>
    <w:rsid w:val="00A259BF"/>
    <w:rsid w:val="00A269DE"/>
    <w:rsid w:val="00A32611"/>
    <w:rsid w:val="00A37CE4"/>
    <w:rsid w:val="00A45B2D"/>
    <w:rsid w:val="00A543D3"/>
    <w:rsid w:val="00A639D4"/>
    <w:rsid w:val="00A6799E"/>
    <w:rsid w:val="00A67AD9"/>
    <w:rsid w:val="00A73708"/>
    <w:rsid w:val="00A7418F"/>
    <w:rsid w:val="00A853E7"/>
    <w:rsid w:val="00A85ABE"/>
    <w:rsid w:val="00A8711E"/>
    <w:rsid w:val="00A87498"/>
    <w:rsid w:val="00A92731"/>
    <w:rsid w:val="00A970A6"/>
    <w:rsid w:val="00AA1823"/>
    <w:rsid w:val="00AB1402"/>
    <w:rsid w:val="00AB554F"/>
    <w:rsid w:val="00AD3316"/>
    <w:rsid w:val="00AD37E8"/>
    <w:rsid w:val="00AD3F22"/>
    <w:rsid w:val="00AD5419"/>
    <w:rsid w:val="00AD6C2F"/>
    <w:rsid w:val="00AE5C6A"/>
    <w:rsid w:val="00AF1A13"/>
    <w:rsid w:val="00AF2B24"/>
    <w:rsid w:val="00AF47F5"/>
    <w:rsid w:val="00AF69D2"/>
    <w:rsid w:val="00B15683"/>
    <w:rsid w:val="00B23038"/>
    <w:rsid w:val="00B303BC"/>
    <w:rsid w:val="00B31AF8"/>
    <w:rsid w:val="00B41BA0"/>
    <w:rsid w:val="00B42453"/>
    <w:rsid w:val="00B56527"/>
    <w:rsid w:val="00B61097"/>
    <w:rsid w:val="00B75A51"/>
    <w:rsid w:val="00B75DEA"/>
    <w:rsid w:val="00B81372"/>
    <w:rsid w:val="00B924CF"/>
    <w:rsid w:val="00B93AB6"/>
    <w:rsid w:val="00B9601A"/>
    <w:rsid w:val="00BA1041"/>
    <w:rsid w:val="00BA26D6"/>
    <w:rsid w:val="00BA4E79"/>
    <w:rsid w:val="00BA5295"/>
    <w:rsid w:val="00BB54D7"/>
    <w:rsid w:val="00BD490B"/>
    <w:rsid w:val="00BD5A8A"/>
    <w:rsid w:val="00BE0AA2"/>
    <w:rsid w:val="00BE139F"/>
    <w:rsid w:val="00BE13BD"/>
    <w:rsid w:val="00BE50CE"/>
    <w:rsid w:val="00C03390"/>
    <w:rsid w:val="00C124B3"/>
    <w:rsid w:val="00C13FF3"/>
    <w:rsid w:val="00C14D3E"/>
    <w:rsid w:val="00C43ED4"/>
    <w:rsid w:val="00C56AC5"/>
    <w:rsid w:val="00C60887"/>
    <w:rsid w:val="00C74FD2"/>
    <w:rsid w:val="00C8498F"/>
    <w:rsid w:val="00C93141"/>
    <w:rsid w:val="00C94965"/>
    <w:rsid w:val="00CA1664"/>
    <w:rsid w:val="00CA445C"/>
    <w:rsid w:val="00CB744E"/>
    <w:rsid w:val="00CD075B"/>
    <w:rsid w:val="00CD13C5"/>
    <w:rsid w:val="00CD3DF9"/>
    <w:rsid w:val="00CE504F"/>
    <w:rsid w:val="00CE6483"/>
    <w:rsid w:val="00CE7BF5"/>
    <w:rsid w:val="00CE7DB7"/>
    <w:rsid w:val="00CF500F"/>
    <w:rsid w:val="00D01238"/>
    <w:rsid w:val="00D032E5"/>
    <w:rsid w:val="00D06671"/>
    <w:rsid w:val="00D0707B"/>
    <w:rsid w:val="00D161A8"/>
    <w:rsid w:val="00D23D80"/>
    <w:rsid w:val="00D25871"/>
    <w:rsid w:val="00D3206E"/>
    <w:rsid w:val="00D33024"/>
    <w:rsid w:val="00D34224"/>
    <w:rsid w:val="00D51D71"/>
    <w:rsid w:val="00D63C4A"/>
    <w:rsid w:val="00D64726"/>
    <w:rsid w:val="00D72AD0"/>
    <w:rsid w:val="00D81790"/>
    <w:rsid w:val="00D824CB"/>
    <w:rsid w:val="00D84F98"/>
    <w:rsid w:val="00D92DA4"/>
    <w:rsid w:val="00D97336"/>
    <w:rsid w:val="00DB38E8"/>
    <w:rsid w:val="00DB4A95"/>
    <w:rsid w:val="00DC7E4B"/>
    <w:rsid w:val="00DE4FBF"/>
    <w:rsid w:val="00E0486A"/>
    <w:rsid w:val="00E3522C"/>
    <w:rsid w:val="00E361B6"/>
    <w:rsid w:val="00E3682F"/>
    <w:rsid w:val="00E36CC6"/>
    <w:rsid w:val="00E40878"/>
    <w:rsid w:val="00E47A29"/>
    <w:rsid w:val="00E52649"/>
    <w:rsid w:val="00E54A33"/>
    <w:rsid w:val="00E54FDA"/>
    <w:rsid w:val="00E634A1"/>
    <w:rsid w:val="00E715A6"/>
    <w:rsid w:val="00E7285B"/>
    <w:rsid w:val="00E85F80"/>
    <w:rsid w:val="00E874DA"/>
    <w:rsid w:val="00E927BB"/>
    <w:rsid w:val="00E94A29"/>
    <w:rsid w:val="00EB2D5F"/>
    <w:rsid w:val="00EC4832"/>
    <w:rsid w:val="00ED231A"/>
    <w:rsid w:val="00ED65A5"/>
    <w:rsid w:val="00ED7D15"/>
    <w:rsid w:val="00EE5E26"/>
    <w:rsid w:val="00EE7437"/>
    <w:rsid w:val="00EF20F2"/>
    <w:rsid w:val="00EF3885"/>
    <w:rsid w:val="00EF4106"/>
    <w:rsid w:val="00F00D66"/>
    <w:rsid w:val="00F10821"/>
    <w:rsid w:val="00F13272"/>
    <w:rsid w:val="00F17918"/>
    <w:rsid w:val="00F21B87"/>
    <w:rsid w:val="00F23325"/>
    <w:rsid w:val="00F235B6"/>
    <w:rsid w:val="00F30A93"/>
    <w:rsid w:val="00F32F27"/>
    <w:rsid w:val="00F35B82"/>
    <w:rsid w:val="00F42630"/>
    <w:rsid w:val="00F429A7"/>
    <w:rsid w:val="00F4387A"/>
    <w:rsid w:val="00F52255"/>
    <w:rsid w:val="00F578F8"/>
    <w:rsid w:val="00F57CF6"/>
    <w:rsid w:val="00F61AA1"/>
    <w:rsid w:val="00F75CEA"/>
    <w:rsid w:val="00F812A9"/>
    <w:rsid w:val="00F84018"/>
    <w:rsid w:val="00F91052"/>
    <w:rsid w:val="00F93D13"/>
    <w:rsid w:val="00FA28D3"/>
    <w:rsid w:val="00FB16C7"/>
    <w:rsid w:val="00FB3C9D"/>
    <w:rsid w:val="00FC2201"/>
    <w:rsid w:val="00FD47EE"/>
    <w:rsid w:val="00FD74AA"/>
    <w:rsid w:val="00FE0B3E"/>
    <w:rsid w:val="00FE3B40"/>
    <w:rsid w:val="00FE3D18"/>
    <w:rsid w:val="00FF0A00"/>
    <w:rsid w:val="00FF2C25"/>
    <w:rsid w:val="00FF40CE"/>
    <w:rsid w:val="00FF50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100CF579-27BE-463E-B08C-52DDAC3F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5A5"/>
    <w:pPr>
      <w:tabs>
        <w:tab w:val="center" w:pos="4819"/>
        <w:tab w:val="right" w:pos="9638"/>
      </w:tabs>
      <w:spacing w:after="0" w:line="240" w:lineRule="auto"/>
    </w:pPr>
  </w:style>
  <w:style w:type="character" w:customStyle="1" w:styleId="HeaderChar">
    <w:name w:val="Header Char"/>
    <w:basedOn w:val="DefaultParagraphFont"/>
    <w:link w:val="Header"/>
    <w:uiPriority w:val="99"/>
    <w:rsid w:val="00ED65A5"/>
  </w:style>
  <w:style w:type="paragraph" w:styleId="Footer">
    <w:name w:val="footer"/>
    <w:basedOn w:val="Normal"/>
    <w:link w:val="FooterChar"/>
    <w:uiPriority w:val="99"/>
    <w:unhideWhenUsed/>
    <w:rsid w:val="00ED65A5"/>
    <w:pPr>
      <w:tabs>
        <w:tab w:val="center" w:pos="4819"/>
        <w:tab w:val="right" w:pos="9638"/>
      </w:tabs>
      <w:spacing w:after="0" w:line="240" w:lineRule="auto"/>
    </w:pPr>
  </w:style>
  <w:style w:type="character" w:customStyle="1" w:styleId="FooterChar">
    <w:name w:val="Footer Char"/>
    <w:basedOn w:val="DefaultParagraphFont"/>
    <w:link w:val="Footer"/>
    <w:uiPriority w:val="99"/>
    <w:rsid w:val="00ED65A5"/>
  </w:style>
  <w:style w:type="paragraph" w:styleId="BalloonText">
    <w:name w:val="Balloon Text"/>
    <w:basedOn w:val="Normal"/>
    <w:link w:val="BalloonTextChar"/>
    <w:uiPriority w:val="99"/>
    <w:semiHidden/>
    <w:unhideWhenUsed/>
    <w:rsid w:val="00ED6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5A5"/>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ED65A5"/>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ED65A5"/>
  </w:style>
  <w:style w:type="character" w:styleId="CommentReference">
    <w:name w:val="annotation reference"/>
    <w:basedOn w:val="DefaultParagraphFont"/>
    <w:uiPriority w:val="99"/>
    <w:semiHidden/>
    <w:unhideWhenUsed/>
    <w:rsid w:val="00ED65A5"/>
    <w:rPr>
      <w:sz w:val="16"/>
      <w:szCs w:val="16"/>
    </w:rPr>
  </w:style>
  <w:style w:type="paragraph" w:styleId="CommentText">
    <w:name w:val="annotation text"/>
    <w:basedOn w:val="Normal"/>
    <w:link w:val="CommentTextChar"/>
    <w:uiPriority w:val="99"/>
    <w:unhideWhenUsed/>
    <w:rsid w:val="00ED65A5"/>
    <w:pPr>
      <w:spacing w:line="240" w:lineRule="auto"/>
    </w:pPr>
    <w:rPr>
      <w:sz w:val="20"/>
      <w:szCs w:val="20"/>
    </w:rPr>
  </w:style>
  <w:style w:type="character" w:customStyle="1" w:styleId="CommentTextChar">
    <w:name w:val="Comment Text Char"/>
    <w:basedOn w:val="DefaultParagraphFont"/>
    <w:link w:val="CommentText"/>
    <w:uiPriority w:val="99"/>
    <w:rsid w:val="00ED65A5"/>
    <w:rPr>
      <w:sz w:val="20"/>
      <w:szCs w:val="20"/>
    </w:rPr>
  </w:style>
  <w:style w:type="paragraph" w:styleId="CommentSubject">
    <w:name w:val="annotation subject"/>
    <w:basedOn w:val="CommentText"/>
    <w:next w:val="CommentText"/>
    <w:link w:val="CommentSubjectChar"/>
    <w:uiPriority w:val="99"/>
    <w:semiHidden/>
    <w:unhideWhenUsed/>
    <w:rsid w:val="00ED65A5"/>
    <w:rPr>
      <w:b/>
      <w:bCs/>
    </w:rPr>
  </w:style>
  <w:style w:type="character" w:customStyle="1" w:styleId="CommentSubjectChar">
    <w:name w:val="Comment Subject Char"/>
    <w:basedOn w:val="CommentTextChar"/>
    <w:link w:val="CommentSubject"/>
    <w:uiPriority w:val="99"/>
    <w:semiHidden/>
    <w:rsid w:val="00ED65A5"/>
    <w:rPr>
      <w:b/>
      <w:bCs/>
      <w:sz w:val="20"/>
      <w:szCs w:val="20"/>
    </w:rPr>
  </w:style>
  <w:style w:type="paragraph" w:styleId="Revision">
    <w:name w:val="Revision"/>
    <w:hidden/>
    <w:uiPriority w:val="99"/>
    <w:semiHidden/>
    <w:rsid w:val="00ED65A5"/>
    <w:pPr>
      <w:spacing w:after="0" w:line="240" w:lineRule="auto"/>
    </w:pPr>
  </w:style>
  <w:style w:type="paragraph" w:styleId="BodyText2">
    <w:name w:val="Body Text 2"/>
    <w:basedOn w:val="Normal"/>
    <w:link w:val="BodyText2Char"/>
    <w:uiPriority w:val="99"/>
    <w:rsid w:val="00ED65A5"/>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ED65A5"/>
    <w:rPr>
      <w:rFonts w:ascii="Tahoma" w:eastAsia="Times New Roman" w:hAnsi="Tahoma" w:cs="Tahoma"/>
      <w:sz w:val="20"/>
      <w:szCs w:val="24"/>
      <w:lang w:eastAsia="it-IT"/>
    </w:rPr>
  </w:style>
  <w:style w:type="table" w:styleId="TableGrid">
    <w:name w:val="Table Grid"/>
    <w:basedOn w:val="TableNormal"/>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D65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5A5"/>
    <w:rPr>
      <w:sz w:val="20"/>
      <w:szCs w:val="20"/>
    </w:rPr>
  </w:style>
  <w:style w:type="character" w:styleId="FootnoteReference">
    <w:name w:val="footnote reference"/>
    <w:basedOn w:val="DefaultParagraphFont"/>
    <w:uiPriority w:val="99"/>
    <w:semiHidden/>
    <w:unhideWhenUsed/>
    <w:rsid w:val="00ED65A5"/>
    <w:rPr>
      <w:vertAlign w:val="superscript"/>
    </w:rPr>
  </w:style>
  <w:style w:type="paragraph" w:customStyle="1" w:styleId="Paragrafoelenco1">
    <w:name w:val="Paragrafo elenco1"/>
    <w:basedOn w:val="Normal"/>
    <w:qFormat/>
    <w:rsid w:val="00ED65A5"/>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DefaultParagraphFont"/>
    <w:rsid w:val="00ED65A5"/>
  </w:style>
  <w:style w:type="character" w:styleId="Hyperlink">
    <w:name w:val="Hyperlink"/>
    <w:basedOn w:val="DefaultParagraphFont"/>
    <w:uiPriority w:val="99"/>
    <w:unhideWhenUsed/>
    <w:rsid w:val="00ED65A5"/>
    <w:rPr>
      <w:color w:val="0000FF"/>
      <w:u w:val="single"/>
    </w:rPr>
  </w:style>
  <w:style w:type="character" w:customStyle="1" w:styleId="ui-provider">
    <w:name w:val="ui-provider"/>
    <w:basedOn w:val="DefaultParagraphFont"/>
    <w:rsid w:val="00A269DE"/>
  </w:style>
  <w:style w:type="character" w:styleId="UnresolvedMention">
    <w:name w:val="Unresolved Mention"/>
    <w:basedOn w:val="DefaultParagraphFont"/>
    <w:uiPriority w:val="99"/>
    <w:semiHidden/>
    <w:unhideWhenUsed/>
    <w:rsid w:val="00290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28610">
      <w:bodyDiv w:val="1"/>
      <w:marLeft w:val="0"/>
      <w:marRight w:val="0"/>
      <w:marTop w:val="0"/>
      <w:marBottom w:val="0"/>
      <w:divBdr>
        <w:top w:val="none" w:sz="0" w:space="0" w:color="auto"/>
        <w:left w:val="none" w:sz="0" w:space="0" w:color="auto"/>
        <w:bottom w:val="none" w:sz="0" w:space="0" w:color="auto"/>
        <w:right w:val="none" w:sz="0" w:space="0" w:color="auto"/>
      </w:divBdr>
    </w:div>
    <w:div w:id="382796604">
      <w:bodyDiv w:val="1"/>
      <w:marLeft w:val="0"/>
      <w:marRight w:val="0"/>
      <w:marTop w:val="0"/>
      <w:marBottom w:val="0"/>
      <w:divBdr>
        <w:top w:val="none" w:sz="0" w:space="0" w:color="auto"/>
        <w:left w:val="none" w:sz="0" w:space="0" w:color="auto"/>
        <w:bottom w:val="none" w:sz="0" w:space="0" w:color="auto"/>
        <w:right w:val="none" w:sz="0" w:space="0" w:color="auto"/>
      </w:divBdr>
    </w:div>
    <w:div w:id="410932684">
      <w:bodyDiv w:val="1"/>
      <w:marLeft w:val="0"/>
      <w:marRight w:val="0"/>
      <w:marTop w:val="0"/>
      <w:marBottom w:val="0"/>
      <w:divBdr>
        <w:top w:val="none" w:sz="0" w:space="0" w:color="auto"/>
        <w:left w:val="none" w:sz="0" w:space="0" w:color="auto"/>
        <w:bottom w:val="none" w:sz="0" w:space="0" w:color="auto"/>
        <w:right w:val="none" w:sz="0" w:space="0" w:color="auto"/>
      </w:divBdr>
    </w:div>
    <w:div w:id="440759730">
      <w:bodyDiv w:val="1"/>
      <w:marLeft w:val="0"/>
      <w:marRight w:val="0"/>
      <w:marTop w:val="0"/>
      <w:marBottom w:val="0"/>
      <w:divBdr>
        <w:top w:val="none" w:sz="0" w:space="0" w:color="auto"/>
        <w:left w:val="none" w:sz="0" w:space="0" w:color="auto"/>
        <w:bottom w:val="none" w:sz="0" w:space="0" w:color="auto"/>
        <w:right w:val="none" w:sz="0" w:space="0" w:color="auto"/>
      </w:divBdr>
    </w:div>
    <w:div w:id="672339794">
      <w:bodyDiv w:val="1"/>
      <w:marLeft w:val="0"/>
      <w:marRight w:val="0"/>
      <w:marTop w:val="0"/>
      <w:marBottom w:val="0"/>
      <w:divBdr>
        <w:top w:val="none" w:sz="0" w:space="0" w:color="auto"/>
        <w:left w:val="none" w:sz="0" w:space="0" w:color="auto"/>
        <w:bottom w:val="none" w:sz="0" w:space="0" w:color="auto"/>
        <w:right w:val="none" w:sz="0" w:space="0" w:color="auto"/>
      </w:divBdr>
    </w:div>
    <w:div w:id="675618399">
      <w:bodyDiv w:val="1"/>
      <w:marLeft w:val="0"/>
      <w:marRight w:val="0"/>
      <w:marTop w:val="0"/>
      <w:marBottom w:val="0"/>
      <w:divBdr>
        <w:top w:val="none" w:sz="0" w:space="0" w:color="auto"/>
        <w:left w:val="none" w:sz="0" w:space="0" w:color="auto"/>
        <w:bottom w:val="none" w:sz="0" w:space="0" w:color="auto"/>
        <w:right w:val="none" w:sz="0" w:space="0" w:color="auto"/>
      </w:divBdr>
    </w:div>
    <w:div w:id="735863641">
      <w:bodyDiv w:val="1"/>
      <w:marLeft w:val="0"/>
      <w:marRight w:val="0"/>
      <w:marTop w:val="0"/>
      <w:marBottom w:val="0"/>
      <w:divBdr>
        <w:top w:val="none" w:sz="0" w:space="0" w:color="auto"/>
        <w:left w:val="none" w:sz="0" w:space="0" w:color="auto"/>
        <w:bottom w:val="none" w:sz="0" w:space="0" w:color="auto"/>
        <w:right w:val="none" w:sz="0" w:space="0" w:color="auto"/>
      </w:divBdr>
    </w:div>
    <w:div w:id="971521091">
      <w:bodyDiv w:val="1"/>
      <w:marLeft w:val="0"/>
      <w:marRight w:val="0"/>
      <w:marTop w:val="0"/>
      <w:marBottom w:val="0"/>
      <w:divBdr>
        <w:top w:val="none" w:sz="0" w:space="0" w:color="auto"/>
        <w:left w:val="none" w:sz="0" w:space="0" w:color="auto"/>
        <w:bottom w:val="none" w:sz="0" w:space="0" w:color="auto"/>
        <w:right w:val="none" w:sz="0" w:space="0" w:color="auto"/>
      </w:divBdr>
    </w:div>
    <w:div w:id="1052578232">
      <w:bodyDiv w:val="1"/>
      <w:marLeft w:val="0"/>
      <w:marRight w:val="0"/>
      <w:marTop w:val="0"/>
      <w:marBottom w:val="0"/>
      <w:divBdr>
        <w:top w:val="none" w:sz="0" w:space="0" w:color="auto"/>
        <w:left w:val="none" w:sz="0" w:space="0" w:color="auto"/>
        <w:bottom w:val="none" w:sz="0" w:space="0" w:color="auto"/>
        <w:right w:val="none" w:sz="0" w:space="0" w:color="auto"/>
      </w:divBdr>
    </w:div>
    <w:div w:id="1203788936">
      <w:bodyDiv w:val="1"/>
      <w:marLeft w:val="0"/>
      <w:marRight w:val="0"/>
      <w:marTop w:val="0"/>
      <w:marBottom w:val="0"/>
      <w:divBdr>
        <w:top w:val="none" w:sz="0" w:space="0" w:color="auto"/>
        <w:left w:val="none" w:sz="0" w:space="0" w:color="auto"/>
        <w:bottom w:val="none" w:sz="0" w:space="0" w:color="auto"/>
        <w:right w:val="none" w:sz="0" w:space="0" w:color="auto"/>
      </w:divBdr>
    </w:div>
    <w:div w:id="1277907240">
      <w:bodyDiv w:val="1"/>
      <w:marLeft w:val="0"/>
      <w:marRight w:val="0"/>
      <w:marTop w:val="0"/>
      <w:marBottom w:val="0"/>
      <w:divBdr>
        <w:top w:val="none" w:sz="0" w:space="0" w:color="auto"/>
        <w:left w:val="none" w:sz="0" w:space="0" w:color="auto"/>
        <w:bottom w:val="none" w:sz="0" w:space="0" w:color="auto"/>
        <w:right w:val="none" w:sz="0" w:space="0" w:color="auto"/>
      </w:divBdr>
    </w:div>
    <w:div w:id="1634825017">
      <w:bodyDiv w:val="1"/>
      <w:marLeft w:val="0"/>
      <w:marRight w:val="0"/>
      <w:marTop w:val="0"/>
      <w:marBottom w:val="0"/>
      <w:divBdr>
        <w:top w:val="none" w:sz="0" w:space="0" w:color="auto"/>
        <w:left w:val="none" w:sz="0" w:space="0" w:color="auto"/>
        <w:bottom w:val="none" w:sz="0" w:space="0" w:color="auto"/>
        <w:right w:val="none" w:sz="0" w:space="0" w:color="auto"/>
      </w:divBdr>
    </w:div>
    <w:div w:id="1645433119">
      <w:bodyDiv w:val="1"/>
      <w:marLeft w:val="0"/>
      <w:marRight w:val="0"/>
      <w:marTop w:val="0"/>
      <w:marBottom w:val="0"/>
      <w:divBdr>
        <w:top w:val="none" w:sz="0" w:space="0" w:color="auto"/>
        <w:left w:val="none" w:sz="0" w:space="0" w:color="auto"/>
        <w:bottom w:val="none" w:sz="0" w:space="0" w:color="auto"/>
        <w:right w:val="none" w:sz="0" w:space="0" w:color="auto"/>
      </w:divBdr>
    </w:div>
    <w:div w:id="1798912510">
      <w:bodyDiv w:val="1"/>
      <w:marLeft w:val="0"/>
      <w:marRight w:val="0"/>
      <w:marTop w:val="0"/>
      <w:marBottom w:val="0"/>
      <w:divBdr>
        <w:top w:val="none" w:sz="0" w:space="0" w:color="auto"/>
        <w:left w:val="none" w:sz="0" w:space="0" w:color="auto"/>
        <w:bottom w:val="none" w:sz="0" w:space="0" w:color="auto"/>
        <w:right w:val="none" w:sz="0" w:space="0" w:color="auto"/>
      </w:divBdr>
    </w:div>
    <w:div w:id="1928806220">
      <w:bodyDiv w:val="1"/>
      <w:marLeft w:val="0"/>
      <w:marRight w:val="0"/>
      <w:marTop w:val="0"/>
      <w:marBottom w:val="0"/>
      <w:divBdr>
        <w:top w:val="none" w:sz="0" w:space="0" w:color="auto"/>
        <w:left w:val="none" w:sz="0" w:space="0" w:color="auto"/>
        <w:bottom w:val="none" w:sz="0" w:space="0" w:color="auto"/>
        <w:right w:val="none" w:sz="0" w:space="0" w:color="auto"/>
      </w:divBdr>
    </w:div>
    <w:div w:id="2080202169">
      <w:bodyDiv w:val="1"/>
      <w:marLeft w:val="0"/>
      <w:marRight w:val="0"/>
      <w:marTop w:val="0"/>
      <w:marBottom w:val="0"/>
      <w:divBdr>
        <w:top w:val="none" w:sz="0" w:space="0" w:color="auto"/>
        <w:left w:val="none" w:sz="0" w:space="0" w:color="auto"/>
        <w:bottom w:val="none" w:sz="0" w:space="0" w:color="auto"/>
        <w:right w:val="none" w:sz="0" w:space="0" w:color="auto"/>
      </w:divBdr>
    </w:div>
    <w:div w:id="213313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DB6BF-EF9F-4599-B143-76E8F11F4055}">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848</TotalTime>
  <Pages>43</Pages>
  <Words>6036</Words>
  <Characters>34410</Characters>
  <Application>Microsoft Office Word</Application>
  <DocSecurity>0</DocSecurity>
  <Lines>286</Lines>
  <Paragraphs>80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Gizzi, Maria Elena</cp:lastModifiedBy>
  <cp:revision>248</cp:revision>
  <dcterms:created xsi:type="dcterms:W3CDTF">2024-02-07T12:04:00Z</dcterms:created>
  <dcterms:modified xsi:type="dcterms:W3CDTF">2025-03-31T09:18:00Z</dcterms:modified>
</cp:coreProperties>
</file>